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6D" w:rsidRPr="00B8356D" w:rsidRDefault="00B8356D" w:rsidP="008C6DA7">
      <w:pPr>
        <w:jc w:val="center"/>
        <w:rPr>
          <w:b/>
          <w:sz w:val="16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93980</wp:posOffset>
            </wp:positionV>
            <wp:extent cx="1247775" cy="5402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QS_OUTLINES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4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59B" w:rsidRPr="009165EB" w:rsidRDefault="008A258D" w:rsidP="008C6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Engagement Conference</w:t>
      </w:r>
    </w:p>
    <w:p w:rsidR="009165EB" w:rsidRDefault="009165EB" w:rsidP="00853C79">
      <w:pPr>
        <w:jc w:val="center"/>
      </w:pPr>
    </w:p>
    <w:p w:rsidR="009165EB" w:rsidRDefault="009165EB"/>
    <w:p w:rsidR="007D2A6A" w:rsidRDefault="007D2A6A" w:rsidP="007D2A6A">
      <w:pPr>
        <w:jc w:val="center"/>
        <w:rPr>
          <w:b/>
          <w:sz w:val="24"/>
          <w:szCs w:val="24"/>
        </w:rPr>
      </w:pPr>
      <w:r w:rsidRPr="008A258D">
        <w:rPr>
          <w:b/>
          <w:sz w:val="24"/>
          <w:szCs w:val="24"/>
        </w:rPr>
        <w:t>H</w:t>
      </w:r>
      <w:r w:rsidR="009165EB" w:rsidRPr="008A258D">
        <w:rPr>
          <w:b/>
          <w:sz w:val="24"/>
          <w:szCs w:val="24"/>
        </w:rPr>
        <w:t>ost</w:t>
      </w:r>
      <w:r w:rsidR="008A258D" w:rsidRPr="008A258D">
        <w:rPr>
          <w:b/>
          <w:sz w:val="24"/>
          <w:szCs w:val="24"/>
        </w:rPr>
        <w:t>ed by</w:t>
      </w:r>
      <w:r w:rsidR="009165EB" w:rsidRPr="008A258D">
        <w:rPr>
          <w:b/>
          <w:sz w:val="24"/>
          <w:szCs w:val="24"/>
        </w:rPr>
        <w:t xml:space="preserve">: </w:t>
      </w:r>
      <w:r w:rsidRPr="008A258D">
        <w:rPr>
          <w:b/>
          <w:sz w:val="24"/>
          <w:szCs w:val="24"/>
        </w:rPr>
        <w:t>National University of Architecture and Construction of Armenia (NUACA)</w:t>
      </w:r>
    </w:p>
    <w:p w:rsidR="008A258D" w:rsidRPr="00B8356D" w:rsidRDefault="008A258D" w:rsidP="007D2A6A">
      <w:pPr>
        <w:jc w:val="center"/>
        <w:rPr>
          <w:b/>
          <w:sz w:val="14"/>
          <w:szCs w:val="24"/>
        </w:rPr>
      </w:pPr>
    </w:p>
    <w:p w:rsidR="00443D75" w:rsidRPr="008A258D" w:rsidRDefault="007D2A6A" w:rsidP="007D2A6A">
      <w:pPr>
        <w:jc w:val="center"/>
        <w:rPr>
          <w:b/>
          <w:sz w:val="24"/>
          <w:szCs w:val="24"/>
        </w:rPr>
      </w:pPr>
      <w:r w:rsidRPr="008A258D">
        <w:rPr>
          <w:b/>
          <w:sz w:val="24"/>
          <w:szCs w:val="24"/>
        </w:rPr>
        <w:t xml:space="preserve">Monday 26 </w:t>
      </w:r>
      <w:r w:rsidR="00443D75" w:rsidRPr="008A258D">
        <w:rPr>
          <w:b/>
          <w:sz w:val="24"/>
          <w:szCs w:val="24"/>
        </w:rPr>
        <w:t>October 2015</w:t>
      </w:r>
      <w:r w:rsidR="0030157B" w:rsidRPr="008A258D">
        <w:rPr>
          <w:b/>
          <w:sz w:val="24"/>
          <w:szCs w:val="24"/>
        </w:rPr>
        <w:t xml:space="preserve"> to Wednesday 28 October 2015</w:t>
      </w:r>
    </w:p>
    <w:p w:rsidR="008C6DA7" w:rsidRDefault="008C6DA7"/>
    <w:p w:rsidR="00006CA4" w:rsidRDefault="00006CA4">
      <w:pPr>
        <w:rPr>
          <w:b/>
        </w:rPr>
      </w:pPr>
      <w:r>
        <w:rPr>
          <w:b/>
        </w:rPr>
        <w:t>Overview</w:t>
      </w:r>
      <w:r w:rsidR="00156714">
        <w:rPr>
          <w:b/>
        </w:rPr>
        <w:t xml:space="preserve"> and objectives</w:t>
      </w:r>
      <w:r w:rsidR="008A258D">
        <w:rPr>
          <w:b/>
        </w:rPr>
        <w:t xml:space="preserve"> of the conference</w:t>
      </w:r>
      <w:r w:rsidR="00156714">
        <w:rPr>
          <w:b/>
        </w:rPr>
        <w:t>:</w:t>
      </w:r>
    </w:p>
    <w:p w:rsidR="002737FF" w:rsidRPr="00B8356D" w:rsidRDefault="002737FF">
      <w:pPr>
        <w:rPr>
          <w:sz w:val="16"/>
        </w:rPr>
      </w:pPr>
    </w:p>
    <w:p w:rsidR="00695CE3" w:rsidRDefault="00006CA4" w:rsidP="00006CA4">
      <w:pPr>
        <w:pStyle w:val="ListParagraph"/>
        <w:numPr>
          <w:ilvl w:val="0"/>
          <w:numId w:val="4"/>
        </w:numPr>
      </w:pPr>
      <w:r>
        <w:t xml:space="preserve">One </w:t>
      </w:r>
      <w:r w:rsidR="008C6DA7">
        <w:t xml:space="preserve">day </w:t>
      </w:r>
      <w:r w:rsidR="009165EB">
        <w:t xml:space="preserve">with </w:t>
      </w:r>
      <w:r w:rsidR="00156714">
        <w:t xml:space="preserve">all participants, with </w:t>
      </w:r>
      <w:r w:rsidR="009165EB">
        <w:t>the objective ofraising awareness within the Armenian university sector</w:t>
      </w:r>
      <w:r>
        <w:t>about</w:t>
      </w:r>
      <w:r w:rsidR="00695CE3">
        <w:t>:</w:t>
      </w:r>
    </w:p>
    <w:p w:rsidR="008A258D" w:rsidRPr="00B8356D" w:rsidRDefault="008A258D" w:rsidP="008A258D">
      <w:pPr>
        <w:pStyle w:val="ListParagraph"/>
        <w:rPr>
          <w:sz w:val="10"/>
        </w:rPr>
      </w:pPr>
    </w:p>
    <w:p w:rsidR="00695CE3" w:rsidRDefault="00891529" w:rsidP="00695CE3">
      <w:pPr>
        <w:pStyle w:val="ListParagraph"/>
        <w:numPr>
          <w:ilvl w:val="1"/>
          <w:numId w:val="4"/>
        </w:numPr>
      </w:pPr>
      <w:r>
        <w:t>The European context for student engagement and quality assurance/enhancement.</w:t>
      </w:r>
    </w:p>
    <w:p w:rsidR="00006CA4" w:rsidRDefault="00695CE3" w:rsidP="00695CE3">
      <w:pPr>
        <w:pStyle w:val="ListParagraph"/>
        <w:numPr>
          <w:ilvl w:val="1"/>
          <w:numId w:val="4"/>
        </w:numPr>
      </w:pPr>
      <w:r>
        <w:t>T</w:t>
      </w:r>
      <w:r w:rsidR="00006CA4">
        <w:t>he value of student engagement in quality.</w:t>
      </w:r>
    </w:p>
    <w:p w:rsidR="00DA3F4E" w:rsidRDefault="00DA3F4E" w:rsidP="00695CE3">
      <w:pPr>
        <w:pStyle w:val="ListParagraph"/>
        <w:numPr>
          <w:ilvl w:val="1"/>
          <w:numId w:val="4"/>
        </w:numPr>
      </w:pPr>
      <w:r>
        <w:t>The ESPAQ project and how partners can get involved</w:t>
      </w:r>
    </w:p>
    <w:p w:rsidR="00DA3F4E" w:rsidRPr="00B8356D" w:rsidRDefault="00DA3F4E" w:rsidP="00DA3F4E">
      <w:pPr>
        <w:pStyle w:val="ListParagraph"/>
        <w:ind w:left="1440"/>
        <w:rPr>
          <w:sz w:val="12"/>
        </w:rPr>
      </w:pPr>
    </w:p>
    <w:p w:rsidR="008C6DA7" w:rsidRDefault="00695CE3" w:rsidP="00006CA4">
      <w:pPr>
        <w:pStyle w:val="ListParagraph"/>
        <w:numPr>
          <w:ilvl w:val="0"/>
          <w:numId w:val="4"/>
        </w:numPr>
      </w:pPr>
      <w:r>
        <w:t>Half-day consultancy sessions with each Armenian partner to develop objectives around student engagement practice.</w:t>
      </w:r>
    </w:p>
    <w:p w:rsidR="002737FF" w:rsidRDefault="002737FF">
      <w:pPr>
        <w:rPr>
          <w:b/>
        </w:rPr>
      </w:pPr>
    </w:p>
    <w:p w:rsidR="00006CA4" w:rsidRDefault="008C6DA7">
      <w:pPr>
        <w:rPr>
          <w:b/>
        </w:rPr>
      </w:pPr>
      <w:r w:rsidRPr="00093176">
        <w:rPr>
          <w:b/>
        </w:rPr>
        <w:t>Audience</w:t>
      </w:r>
      <w:r w:rsidR="00156714">
        <w:rPr>
          <w:b/>
        </w:rPr>
        <w:t>:</w:t>
      </w:r>
    </w:p>
    <w:p w:rsidR="002737FF" w:rsidRPr="00B8356D" w:rsidRDefault="002737FF">
      <w:pPr>
        <w:rPr>
          <w:sz w:val="16"/>
        </w:rPr>
      </w:pPr>
    </w:p>
    <w:p w:rsidR="009165EB" w:rsidRDefault="008A258D" w:rsidP="00006CA4">
      <w:pPr>
        <w:pStyle w:val="ListParagraph"/>
        <w:numPr>
          <w:ilvl w:val="0"/>
          <w:numId w:val="5"/>
        </w:numPr>
      </w:pPr>
      <w:r>
        <w:t>Delegations from A</w:t>
      </w:r>
      <w:r w:rsidR="00006CA4">
        <w:t>rmenian universities</w:t>
      </w:r>
      <w:r w:rsidR="009165EB">
        <w:t xml:space="preserve"> and agencies</w:t>
      </w:r>
      <w:r>
        <w:t xml:space="preserve"> including:</w:t>
      </w:r>
    </w:p>
    <w:p w:rsidR="008A258D" w:rsidRPr="00B8356D" w:rsidRDefault="008A258D" w:rsidP="008A258D">
      <w:pPr>
        <w:pStyle w:val="ListParagraph"/>
        <w:rPr>
          <w:sz w:val="10"/>
        </w:rPr>
      </w:pPr>
    </w:p>
    <w:p w:rsidR="00ED3123" w:rsidRDefault="008A258D" w:rsidP="00ED3123">
      <w:pPr>
        <w:pStyle w:val="ListParagraph"/>
        <w:numPr>
          <w:ilvl w:val="1"/>
          <w:numId w:val="5"/>
        </w:numPr>
      </w:pPr>
      <w:r>
        <w:t>Senior University staff</w:t>
      </w:r>
    </w:p>
    <w:p w:rsidR="00ED3123" w:rsidRDefault="00ED3123" w:rsidP="00ED3123">
      <w:pPr>
        <w:pStyle w:val="ListParagraph"/>
        <w:numPr>
          <w:ilvl w:val="1"/>
          <w:numId w:val="5"/>
        </w:numPr>
      </w:pPr>
      <w:r>
        <w:t>Quality Assurance Directors and staff</w:t>
      </w:r>
    </w:p>
    <w:p w:rsidR="008A258D" w:rsidRDefault="008A258D" w:rsidP="008A258D">
      <w:pPr>
        <w:pStyle w:val="ListParagraph"/>
        <w:numPr>
          <w:ilvl w:val="1"/>
          <w:numId w:val="5"/>
        </w:numPr>
      </w:pPr>
      <w:r>
        <w:t>Student representatives</w:t>
      </w:r>
    </w:p>
    <w:p w:rsidR="00ED3123" w:rsidRPr="00B8356D" w:rsidRDefault="00ED3123" w:rsidP="00ED3123">
      <w:pPr>
        <w:pStyle w:val="ListParagraph"/>
        <w:rPr>
          <w:sz w:val="10"/>
        </w:rPr>
      </w:pPr>
    </w:p>
    <w:p w:rsidR="00ED3123" w:rsidRDefault="00ED3123" w:rsidP="00ED3123">
      <w:pPr>
        <w:pStyle w:val="ListParagraph"/>
        <w:numPr>
          <w:ilvl w:val="0"/>
          <w:numId w:val="5"/>
        </w:numPr>
      </w:pPr>
      <w:r>
        <w:t>Key representatives from European partners</w:t>
      </w:r>
    </w:p>
    <w:p w:rsidR="002737FF" w:rsidRDefault="002737FF" w:rsidP="002737FF">
      <w:pPr>
        <w:pStyle w:val="ListParagraph"/>
      </w:pPr>
    </w:p>
    <w:p w:rsidR="00ED3123" w:rsidRPr="00ED3123" w:rsidRDefault="00ED3123" w:rsidP="009165EB">
      <w:pPr>
        <w:rPr>
          <w:b/>
          <w:szCs w:val="20"/>
        </w:rPr>
      </w:pPr>
      <w:r w:rsidRPr="00ED3123">
        <w:rPr>
          <w:b/>
          <w:szCs w:val="20"/>
        </w:rPr>
        <w:t>Programme</w:t>
      </w:r>
    </w:p>
    <w:p w:rsidR="00ED3123" w:rsidRPr="00B8356D" w:rsidRDefault="00ED3123" w:rsidP="009165EB">
      <w:pPr>
        <w:rPr>
          <w:b/>
          <w:sz w:val="14"/>
          <w:szCs w:val="20"/>
        </w:rPr>
      </w:pPr>
    </w:p>
    <w:p w:rsidR="00156714" w:rsidRDefault="00ED3123" w:rsidP="009165EB">
      <w:pPr>
        <w:rPr>
          <w:b/>
          <w:szCs w:val="20"/>
        </w:rPr>
      </w:pPr>
      <w:r w:rsidRPr="00ED3123">
        <w:rPr>
          <w:b/>
          <w:szCs w:val="20"/>
        </w:rPr>
        <w:t>Monday 26</w:t>
      </w:r>
      <w:r w:rsidRPr="00ED3123">
        <w:rPr>
          <w:b/>
          <w:szCs w:val="20"/>
          <w:vertAlign w:val="superscript"/>
        </w:rPr>
        <w:t>th</w:t>
      </w:r>
      <w:r w:rsidRPr="00ED3123">
        <w:rPr>
          <w:b/>
          <w:szCs w:val="20"/>
        </w:rPr>
        <w:t xml:space="preserve"> October – </w:t>
      </w:r>
      <w:r w:rsidR="00672BA3">
        <w:rPr>
          <w:b/>
          <w:szCs w:val="20"/>
        </w:rPr>
        <w:t xml:space="preserve">Venue - </w:t>
      </w:r>
      <w:r w:rsidR="00672BA3" w:rsidRPr="00672BA3">
        <w:rPr>
          <w:b/>
          <w:szCs w:val="20"/>
        </w:rPr>
        <w:t>The Union of Architects of the Republic of Armenia</w:t>
      </w:r>
      <w:r w:rsidR="00672BA3" w:rsidRPr="00672BA3">
        <w:rPr>
          <w:b/>
          <w:szCs w:val="20"/>
        </w:rPr>
        <w:br/>
      </w:r>
      <w:proofErr w:type="spellStart"/>
      <w:r w:rsidR="00672BA3" w:rsidRPr="00672BA3">
        <w:rPr>
          <w:b/>
          <w:szCs w:val="20"/>
        </w:rPr>
        <w:t>M.Bagramyanst</w:t>
      </w:r>
      <w:proofErr w:type="spellEnd"/>
      <w:r w:rsidR="00672BA3" w:rsidRPr="00672BA3">
        <w:rPr>
          <w:b/>
          <w:szCs w:val="20"/>
        </w:rPr>
        <w:t>. 17, Yerevan</w:t>
      </w:r>
      <w:r w:rsidR="00672BA3">
        <w:rPr>
          <w:b/>
          <w:szCs w:val="20"/>
        </w:rPr>
        <w:t>.</w:t>
      </w:r>
    </w:p>
    <w:p w:rsidR="00672BA3" w:rsidRDefault="00672BA3" w:rsidP="009165EB">
      <w:pPr>
        <w:rPr>
          <w:b/>
          <w:szCs w:val="20"/>
        </w:rPr>
      </w:pPr>
    </w:p>
    <w:p w:rsidR="00672BA3" w:rsidRPr="00672BA3" w:rsidRDefault="00672BA3" w:rsidP="009165EB">
      <w:pPr>
        <w:rPr>
          <w:szCs w:val="20"/>
        </w:rPr>
      </w:pPr>
      <w:r>
        <w:rPr>
          <w:szCs w:val="20"/>
        </w:rPr>
        <w:t xml:space="preserve">To locate venue click </w:t>
      </w:r>
      <w:hyperlink r:id="rId11" w:history="1">
        <w:r w:rsidRPr="00672BA3">
          <w:rPr>
            <w:rStyle w:val="Hyperlink"/>
            <w:szCs w:val="20"/>
          </w:rPr>
          <w:t>here</w:t>
        </w:r>
      </w:hyperlink>
      <w:r>
        <w:rPr>
          <w:szCs w:val="20"/>
        </w:rPr>
        <w:t>.</w:t>
      </w:r>
    </w:p>
    <w:p w:rsidR="00672BA3" w:rsidRPr="00ED3123" w:rsidRDefault="00672BA3" w:rsidP="009165EB">
      <w:pPr>
        <w:rPr>
          <w:szCs w:val="20"/>
        </w:rPr>
      </w:pPr>
      <w:bookmarkStart w:id="0" w:name="_GoBack"/>
      <w:bookmarkEnd w:id="0"/>
    </w:p>
    <w:p w:rsidR="007D6AE3" w:rsidRPr="007D6AE3" w:rsidRDefault="00ED3123" w:rsidP="00ED3123">
      <w:pPr>
        <w:rPr>
          <w:b/>
        </w:rPr>
      </w:pPr>
      <w:r w:rsidRPr="007D6AE3">
        <w:rPr>
          <w:b/>
        </w:rPr>
        <w:t>9.00</w:t>
      </w:r>
      <w:r w:rsidRPr="007D6AE3">
        <w:rPr>
          <w:b/>
        </w:rPr>
        <w:tab/>
        <w:t>Welcome and Registration</w:t>
      </w:r>
    </w:p>
    <w:p w:rsidR="007D6AE3" w:rsidRDefault="007D6AE3" w:rsidP="00ED3123"/>
    <w:p w:rsidR="007D6AE3" w:rsidRPr="00E6711E" w:rsidRDefault="007D6AE3" w:rsidP="00ED3123">
      <w:pPr>
        <w:rPr>
          <w:b/>
          <w:color w:val="2E74B5" w:themeColor="accent1" w:themeShade="BF"/>
        </w:rPr>
      </w:pPr>
      <w:r w:rsidRPr="00E6711E">
        <w:rPr>
          <w:b/>
          <w:color w:val="2E74B5" w:themeColor="accent1" w:themeShade="BF"/>
        </w:rPr>
        <w:t>Part 1 - Context</w:t>
      </w:r>
    </w:p>
    <w:p w:rsidR="007D6AE3" w:rsidRDefault="007D6AE3" w:rsidP="00ED3123"/>
    <w:p w:rsidR="007D6AE3" w:rsidRDefault="007D6AE3" w:rsidP="00ED3123">
      <w:r w:rsidRPr="007D6AE3">
        <w:rPr>
          <w:b/>
        </w:rPr>
        <w:t>9.30</w:t>
      </w:r>
      <w:r w:rsidRPr="007D6AE3">
        <w:rPr>
          <w:b/>
        </w:rPr>
        <w:tab/>
        <w:t>Institutional welcome</w:t>
      </w:r>
      <w:r>
        <w:t xml:space="preserve"> (from a senior representative from NUACA)</w:t>
      </w:r>
    </w:p>
    <w:p w:rsidR="007D6AE3" w:rsidRDefault="007D6AE3" w:rsidP="00ED3123"/>
    <w:p w:rsidR="00B571EC" w:rsidRDefault="007D6AE3" w:rsidP="007D6AE3">
      <w:pPr>
        <w:ind w:left="720" w:hanging="720"/>
      </w:pPr>
      <w:r w:rsidRPr="007D6AE3">
        <w:rPr>
          <w:b/>
        </w:rPr>
        <w:t>10.00</w:t>
      </w:r>
      <w:r w:rsidRPr="007D6AE3">
        <w:rPr>
          <w:b/>
        </w:rPr>
        <w:tab/>
        <w:t>European context</w:t>
      </w:r>
      <w:r>
        <w:t xml:space="preserve"> – An </w:t>
      </w:r>
      <w:r w:rsidR="00695CE3">
        <w:t>overview of key European environmental factors, such as the E</w:t>
      </w:r>
      <w:r w:rsidR="002737FF">
        <w:t xml:space="preserve">uropean </w:t>
      </w:r>
      <w:r w:rsidR="00695CE3">
        <w:t>S</w:t>
      </w:r>
      <w:r w:rsidR="002737FF">
        <w:t xml:space="preserve">tandards and </w:t>
      </w:r>
      <w:r w:rsidR="00695CE3">
        <w:t>G</w:t>
      </w:r>
      <w:r w:rsidR="002737FF">
        <w:t>uidelines</w:t>
      </w:r>
      <w:r w:rsidR="00B571EC">
        <w:t>.</w:t>
      </w:r>
    </w:p>
    <w:p w:rsidR="007D6AE3" w:rsidRDefault="007D6AE3" w:rsidP="007D6AE3"/>
    <w:p w:rsidR="00695CE3" w:rsidRPr="007D6AE3" w:rsidRDefault="007D6AE3" w:rsidP="007D6AE3">
      <w:r w:rsidRPr="007D6AE3">
        <w:rPr>
          <w:b/>
        </w:rPr>
        <w:t>10.30</w:t>
      </w:r>
      <w:r w:rsidRPr="007D6AE3">
        <w:rPr>
          <w:b/>
        </w:rPr>
        <w:tab/>
        <w:t>Overview of t</w:t>
      </w:r>
      <w:r w:rsidR="002737FF" w:rsidRPr="007D6AE3">
        <w:rPr>
          <w:b/>
        </w:rPr>
        <w:t xml:space="preserve">he </w:t>
      </w:r>
      <w:r w:rsidR="00695CE3" w:rsidRPr="007D6AE3">
        <w:rPr>
          <w:b/>
        </w:rPr>
        <w:t>ESPAQ</w:t>
      </w:r>
      <w:r w:rsidR="002737FF" w:rsidRPr="007D6AE3">
        <w:rPr>
          <w:b/>
        </w:rPr>
        <w:t xml:space="preserve"> Project</w:t>
      </w:r>
      <w:r>
        <w:rPr>
          <w:b/>
        </w:rPr>
        <w:t xml:space="preserve"> – </w:t>
      </w:r>
      <w:r>
        <w:t>Led by project leads for each work package</w:t>
      </w:r>
    </w:p>
    <w:p w:rsidR="007D6AE3" w:rsidRPr="00B8356D" w:rsidRDefault="007D6AE3" w:rsidP="007D6AE3">
      <w:pPr>
        <w:rPr>
          <w:b/>
          <w:sz w:val="10"/>
        </w:rPr>
      </w:pPr>
    </w:p>
    <w:p w:rsidR="00B571EC" w:rsidRDefault="00156714" w:rsidP="007D6AE3">
      <w:pPr>
        <w:pStyle w:val="ListParagraph"/>
        <w:numPr>
          <w:ilvl w:val="0"/>
          <w:numId w:val="10"/>
        </w:numPr>
      </w:pPr>
      <w:r>
        <w:t xml:space="preserve">Key highlights from </w:t>
      </w:r>
      <w:r w:rsidR="007D6AE3">
        <w:t>work package 2</w:t>
      </w:r>
      <w:r>
        <w:t>.</w:t>
      </w:r>
    </w:p>
    <w:p w:rsidR="00695CE3" w:rsidRDefault="00B571EC" w:rsidP="007D6AE3">
      <w:pPr>
        <w:pStyle w:val="ListParagraph"/>
        <w:numPr>
          <w:ilvl w:val="0"/>
          <w:numId w:val="10"/>
        </w:numPr>
      </w:pPr>
      <w:r>
        <w:t xml:space="preserve">Outline of </w:t>
      </w:r>
      <w:r w:rsidR="007D6AE3">
        <w:t>work package 3.</w:t>
      </w:r>
    </w:p>
    <w:p w:rsidR="00846990" w:rsidRDefault="007D6AE3" w:rsidP="007D6AE3">
      <w:pPr>
        <w:pStyle w:val="ListParagraph"/>
        <w:numPr>
          <w:ilvl w:val="0"/>
          <w:numId w:val="10"/>
        </w:numPr>
      </w:pPr>
      <w:r>
        <w:t>Preview of content and opportunities of work package 4.</w:t>
      </w:r>
    </w:p>
    <w:p w:rsidR="007D6AE3" w:rsidRDefault="007D6AE3" w:rsidP="007D6AE3">
      <w:pPr>
        <w:pStyle w:val="ListParagraph"/>
        <w:numPr>
          <w:ilvl w:val="0"/>
          <w:numId w:val="10"/>
        </w:numPr>
      </w:pPr>
      <w:r>
        <w:t>Preview of content and opportunities of work package 5.</w:t>
      </w:r>
    </w:p>
    <w:p w:rsidR="007D6AE3" w:rsidRDefault="007D6AE3" w:rsidP="007D6AE3"/>
    <w:p w:rsidR="007D6AE3" w:rsidRPr="007D6AE3" w:rsidRDefault="007D6AE3" w:rsidP="007D6AE3">
      <w:pPr>
        <w:rPr>
          <w:b/>
        </w:rPr>
      </w:pPr>
      <w:r w:rsidRPr="007D6AE3">
        <w:rPr>
          <w:b/>
        </w:rPr>
        <w:t>11.15</w:t>
      </w:r>
      <w:r w:rsidRPr="007D6AE3">
        <w:rPr>
          <w:b/>
        </w:rPr>
        <w:tab/>
        <w:t>Break</w:t>
      </w:r>
    </w:p>
    <w:p w:rsidR="00B8356D" w:rsidRDefault="00B8356D" w:rsidP="007D6AE3">
      <w:pPr>
        <w:ind w:left="720" w:hanging="720"/>
        <w:rPr>
          <w:b/>
        </w:rPr>
      </w:pPr>
    </w:p>
    <w:p w:rsidR="007D6AE3" w:rsidRDefault="007D6AE3" w:rsidP="007D6AE3">
      <w:pPr>
        <w:ind w:left="720" w:hanging="720"/>
      </w:pPr>
      <w:r w:rsidRPr="007D6AE3">
        <w:rPr>
          <w:b/>
        </w:rPr>
        <w:t>11.30</w:t>
      </w:r>
      <w:r w:rsidRPr="007D6AE3">
        <w:rPr>
          <w:b/>
        </w:rPr>
        <w:tab/>
        <w:t>A Framework for Student Engagement</w:t>
      </w:r>
      <w:r>
        <w:t xml:space="preserve"> – an exploration of Scotland’s Student Engagement Framework as a basis for reflection and discussion of student engagement practice.</w:t>
      </w:r>
    </w:p>
    <w:p w:rsidR="007D6AE3" w:rsidRPr="007D6AE3" w:rsidRDefault="007D6AE3" w:rsidP="007D6AE3">
      <w:pPr>
        <w:ind w:left="720" w:hanging="720"/>
        <w:rPr>
          <w:b/>
        </w:rPr>
      </w:pPr>
      <w:r w:rsidRPr="007D6AE3">
        <w:rPr>
          <w:b/>
        </w:rPr>
        <w:t>Lunch</w:t>
      </w:r>
    </w:p>
    <w:p w:rsidR="009165EB" w:rsidRPr="00E6711E" w:rsidRDefault="00B571EC" w:rsidP="009165EB">
      <w:pPr>
        <w:rPr>
          <w:i/>
          <w:color w:val="2E74B5" w:themeColor="accent1" w:themeShade="BF"/>
          <w:szCs w:val="20"/>
        </w:rPr>
      </w:pPr>
      <w:r w:rsidRPr="00E6711E">
        <w:rPr>
          <w:b/>
          <w:color w:val="2E74B5" w:themeColor="accent1" w:themeShade="BF"/>
          <w:szCs w:val="20"/>
        </w:rPr>
        <w:lastRenderedPageBreak/>
        <w:t>Part 2 – Reflection</w:t>
      </w:r>
    </w:p>
    <w:p w:rsidR="00B571EC" w:rsidRPr="00B8356D" w:rsidRDefault="00B571EC" w:rsidP="009165EB">
      <w:pPr>
        <w:rPr>
          <w:sz w:val="16"/>
        </w:rPr>
      </w:pPr>
    </w:p>
    <w:p w:rsidR="007D6AE3" w:rsidRDefault="007D6AE3" w:rsidP="007D6AE3">
      <w:pPr>
        <w:ind w:left="720" w:hanging="720"/>
      </w:pPr>
      <w:r>
        <w:rPr>
          <w:b/>
        </w:rPr>
        <w:t>14.00</w:t>
      </w:r>
      <w:r>
        <w:rPr>
          <w:b/>
        </w:rPr>
        <w:tab/>
      </w:r>
      <w:r w:rsidR="009165EB" w:rsidRPr="007D6AE3">
        <w:rPr>
          <w:b/>
        </w:rPr>
        <w:t>Students as experts</w:t>
      </w:r>
      <w:r>
        <w:t xml:space="preserve"> – G</w:t>
      </w:r>
      <w:r w:rsidR="009165EB">
        <w:t xml:space="preserve">roup </w:t>
      </w:r>
      <w:r>
        <w:t>exercise reflecting on the role of students as experts on their own learning experience.</w:t>
      </w:r>
    </w:p>
    <w:p w:rsidR="007D6AE3" w:rsidRPr="00B8356D" w:rsidRDefault="007D6AE3" w:rsidP="007D6AE3">
      <w:pPr>
        <w:ind w:left="720" w:hanging="720"/>
        <w:rPr>
          <w:sz w:val="16"/>
        </w:rPr>
      </w:pPr>
    </w:p>
    <w:p w:rsidR="00892687" w:rsidRDefault="007D6AE3" w:rsidP="007D6AE3">
      <w:pPr>
        <w:ind w:left="720" w:hanging="720"/>
      </w:pPr>
      <w:r>
        <w:rPr>
          <w:b/>
        </w:rPr>
        <w:t>14.45S</w:t>
      </w:r>
      <w:r w:rsidR="00892687" w:rsidRPr="004D0BEC">
        <w:rPr>
          <w:b/>
        </w:rPr>
        <w:t>tudents as partners</w:t>
      </w:r>
      <w:r w:rsidR="00892687">
        <w:t xml:space="preserve"> – </w:t>
      </w:r>
      <w:r>
        <w:t>Group exercise reflecting on the role of students working in partnership with staff and universities.</w:t>
      </w:r>
    </w:p>
    <w:p w:rsidR="007D6AE3" w:rsidRPr="00B8356D" w:rsidRDefault="007D6AE3" w:rsidP="007D6AE3">
      <w:pPr>
        <w:ind w:left="720" w:hanging="720"/>
        <w:rPr>
          <w:sz w:val="16"/>
        </w:rPr>
      </w:pPr>
    </w:p>
    <w:p w:rsidR="007D6AE3" w:rsidRPr="007D6AE3" w:rsidRDefault="007D6AE3" w:rsidP="007D6AE3">
      <w:pPr>
        <w:ind w:left="720" w:hanging="720"/>
        <w:rPr>
          <w:b/>
        </w:rPr>
      </w:pPr>
      <w:r w:rsidRPr="007D6AE3">
        <w:rPr>
          <w:b/>
        </w:rPr>
        <w:t>15.30</w:t>
      </w:r>
      <w:r w:rsidRPr="007D6AE3">
        <w:rPr>
          <w:b/>
        </w:rPr>
        <w:tab/>
        <w:t>Break</w:t>
      </w:r>
    </w:p>
    <w:p w:rsidR="007D6AE3" w:rsidRPr="00B8356D" w:rsidRDefault="007D6AE3" w:rsidP="007D6AE3">
      <w:pPr>
        <w:ind w:left="720" w:hanging="720"/>
        <w:rPr>
          <w:sz w:val="16"/>
        </w:rPr>
      </w:pPr>
    </w:p>
    <w:p w:rsidR="001B2AAA" w:rsidRDefault="007D6AE3" w:rsidP="007D6AE3">
      <w:pPr>
        <w:ind w:left="720" w:hanging="720"/>
      </w:pPr>
      <w:r w:rsidRPr="007D6AE3">
        <w:rPr>
          <w:b/>
        </w:rPr>
        <w:t>15.45</w:t>
      </w:r>
      <w:r w:rsidRPr="007D6AE3">
        <w:rPr>
          <w:b/>
        </w:rPr>
        <w:tab/>
        <w:t>Tools of analysis</w:t>
      </w:r>
      <w:r>
        <w:t xml:space="preserve"> – An introduction to various tools and framework to allow for reflection on student engagement practice.</w:t>
      </w:r>
    </w:p>
    <w:p w:rsidR="007D6AE3" w:rsidRPr="00B8356D" w:rsidRDefault="007D6AE3" w:rsidP="007D6AE3">
      <w:pPr>
        <w:ind w:left="720" w:hanging="720"/>
        <w:rPr>
          <w:sz w:val="16"/>
        </w:rPr>
      </w:pPr>
    </w:p>
    <w:p w:rsidR="007D6AE3" w:rsidRPr="007D6AE3" w:rsidRDefault="007D6AE3" w:rsidP="007D6AE3">
      <w:pPr>
        <w:ind w:left="720" w:hanging="720"/>
      </w:pPr>
      <w:r w:rsidRPr="007D6AE3">
        <w:rPr>
          <w:b/>
        </w:rPr>
        <w:t>16.30</w:t>
      </w:r>
      <w:r w:rsidRPr="007D6AE3">
        <w:rPr>
          <w:b/>
        </w:rPr>
        <w:tab/>
        <w:t>Preview of part 3</w:t>
      </w:r>
      <w:r>
        <w:t xml:space="preserve"> – Review of the day and preparation for </w:t>
      </w:r>
      <w:r w:rsidR="00331395">
        <w:t>Tuesday’s consultancy sessions.</w:t>
      </w:r>
    </w:p>
    <w:p w:rsidR="007D6AE3" w:rsidRDefault="007D6AE3" w:rsidP="007D6AE3">
      <w:pPr>
        <w:ind w:left="720" w:hanging="720"/>
      </w:pPr>
    </w:p>
    <w:p w:rsidR="007D6AE3" w:rsidRPr="00331395" w:rsidRDefault="00331395" w:rsidP="00331395">
      <w:pPr>
        <w:rPr>
          <w:szCs w:val="20"/>
        </w:rPr>
      </w:pPr>
      <w:r>
        <w:rPr>
          <w:b/>
          <w:szCs w:val="20"/>
        </w:rPr>
        <w:t>Tuesday 27</w:t>
      </w:r>
      <w:r w:rsidRPr="00331395">
        <w:rPr>
          <w:b/>
          <w:szCs w:val="20"/>
          <w:vertAlign w:val="superscript"/>
        </w:rPr>
        <w:t>th</w:t>
      </w:r>
      <w:r w:rsidRPr="00ED3123">
        <w:rPr>
          <w:b/>
          <w:szCs w:val="20"/>
        </w:rPr>
        <w:t xml:space="preserve"> October – venue – </w:t>
      </w:r>
      <w:r>
        <w:rPr>
          <w:b/>
          <w:szCs w:val="20"/>
        </w:rPr>
        <w:t>individual institutions</w:t>
      </w:r>
    </w:p>
    <w:p w:rsidR="002737FF" w:rsidRPr="00B8356D" w:rsidRDefault="002737FF" w:rsidP="002737FF">
      <w:pPr>
        <w:pStyle w:val="ListParagraph"/>
        <w:ind w:left="1440"/>
        <w:rPr>
          <w:sz w:val="16"/>
        </w:rPr>
      </w:pPr>
    </w:p>
    <w:p w:rsidR="00B571EC" w:rsidRPr="00E6711E" w:rsidRDefault="00B571EC" w:rsidP="001B2AAA">
      <w:pPr>
        <w:rPr>
          <w:color w:val="2E74B5" w:themeColor="accent1" w:themeShade="BF"/>
          <w:szCs w:val="20"/>
        </w:rPr>
      </w:pPr>
      <w:r w:rsidRPr="00E6711E">
        <w:rPr>
          <w:b/>
          <w:color w:val="2E74B5" w:themeColor="accent1" w:themeShade="BF"/>
          <w:szCs w:val="20"/>
        </w:rPr>
        <w:t>Part 3 – Planning</w:t>
      </w:r>
    </w:p>
    <w:p w:rsidR="00695CE3" w:rsidRPr="00B8356D" w:rsidRDefault="00695CE3" w:rsidP="00B571EC">
      <w:pPr>
        <w:rPr>
          <w:sz w:val="16"/>
        </w:rPr>
      </w:pPr>
    </w:p>
    <w:p w:rsidR="0030157B" w:rsidRDefault="00B571EC" w:rsidP="00B571EC">
      <w:r>
        <w:t xml:space="preserve">A half-day session with </w:t>
      </w:r>
      <w:r w:rsidR="001B2AAA">
        <w:t xml:space="preserve">key staff and officers from </w:t>
      </w:r>
      <w:r>
        <w:t xml:space="preserve">each university or national agency from Armenia, facilitated by sparqs staff. </w:t>
      </w:r>
      <w:r w:rsidR="0030157B">
        <w:t>This will include each Armenian university p</w:t>
      </w:r>
      <w:r w:rsidR="001B2AAA">
        <w:t xml:space="preserve">articipating in the conference plus </w:t>
      </w:r>
      <w:r w:rsidR="0030157B">
        <w:t>ANQA, ANSA and, if appropriate, the Ministry.</w:t>
      </w:r>
    </w:p>
    <w:p w:rsidR="00105507" w:rsidRDefault="00105507" w:rsidP="00B571EC">
      <w:r>
        <w:t>Each institution and partner sh</w:t>
      </w:r>
      <w:r w:rsidR="00331395">
        <w:t>ould choose an appropriate slot:</w:t>
      </w:r>
    </w:p>
    <w:p w:rsidR="00331395" w:rsidRPr="00B8356D" w:rsidRDefault="00331395" w:rsidP="00B571EC">
      <w:pPr>
        <w:rPr>
          <w:sz w:val="12"/>
        </w:rPr>
      </w:pPr>
    </w:p>
    <w:p w:rsidR="00331395" w:rsidRDefault="00331395" w:rsidP="00331395">
      <w:pPr>
        <w:pStyle w:val="ListParagraph"/>
        <w:numPr>
          <w:ilvl w:val="0"/>
          <w:numId w:val="17"/>
        </w:numPr>
      </w:pPr>
      <w:r>
        <w:t>Tuesday</w:t>
      </w:r>
      <w:r>
        <w:tab/>
        <w:t>0930-1230</w:t>
      </w:r>
    </w:p>
    <w:p w:rsidR="00331395" w:rsidRDefault="00331395" w:rsidP="00331395">
      <w:pPr>
        <w:pStyle w:val="ListParagraph"/>
        <w:numPr>
          <w:ilvl w:val="0"/>
          <w:numId w:val="17"/>
        </w:numPr>
      </w:pPr>
      <w:r>
        <w:t xml:space="preserve">Tuesday </w:t>
      </w:r>
      <w:r>
        <w:tab/>
        <w:t>1400-1700</w:t>
      </w:r>
    </w:p>
    <w:p w:rsidR="00331395" w:rsidRDefault="00331395" w:rsidP="00331395">
      <w:pPr>
        <w:pStyle w:val="ListParagraph"/>
        <w:numPr>
          <w:ilvl w:val="0"/>
          <w:numId w:val="17"/>
        </w:numPr>
      </w:pPr>
      <w:r>
        <w:t xml:space="preserve">Wednesday </w:t>
      </w:r>
      <w:r>
        <w:tab/>
        <w:t>0930-1230</w:t>
      </w:r>
    </w:p>
    <w:p w:rsidR="00331395" w:rsidRDefault="00331395" w:rsidP="00331395"/>
    <w:p w:rsidR="0030157B" w:rsidRDefault="00331395" w:rsidP="00B571EC">
      <w:r>
        <w:t>There will be three slots at each time, giving a total of nine potential slots. These sessions will take place at individual universities or agencies.</w:t>
      </w:r>
    </w:p>
    <w:p w:rsidR="00331395" w:rsidRPr="00B8356D" w:rsidRDefault="00331395" w:rsidP="00B571EC">
      <w:pPr>
        <w:rPr>
          <w:sz w:val="16"/>
        </w:rPr>
      </w:pPr>
    </w:p>
    <w:p w:rsidR="00846990" w:rsidRDefault="00B571EC" w:rsidP="00846990">
      <w:r>
        <w:t xml:space="preserve">In this work, participants can </w:t>
      </w:r>
      <w:r w:rsidR="0030157B">
        <w:t>work in a short consultancy session with a member of the sparqs team to</w:t>
      </w:r>
      <w:r w:rsidR="00846990">
        <w:t xml:space="preserve"> r</w:t>
      </w:r>
      <w:r w:rsidR="0030157B">
        <w:t xml:space="preserve">eflect on their </w:t>
      </w:r>
      <w:r w:rsidR="006819BB">
        <w:t>own student engagement work</w:t>
      </w:r>
      <w:r w:rsidR="00846990">
        <w:t>, specifically:</w:t>
      </w:r>
    </w:p>
    <w:p w:rsidR="00105507" w:rsidRDefault="00105507" w:rsidP="00846990"/>
    <w:p w:rsidR="00846990" w:rsidRDefault="00846990" w:rsidP="00846990">
      <w:pPr>
        <w:pStyle w:val="ListParagraph"/>
        <w:numPr>
          <w:ilvl w:val="0"/>
          <w:numId w:val="12"/>
        </w:numPr>
      </w:pPr>
      <w:r w:rsidRPr="0062794A">
        <w:rPr>
          <w:b/>
        </w:rPr>
        <w:t>Where they are</w:t>
      </w:r>
      <w:r w:rsidR="0062794A">
        <w:t xml:space="preserve"> – reflecting </w:t>
      </w:r>
      <w:r w:rsidR="001B2AAA">
        <w:t xml:space="preserve">on tools such as </w:t>
      </w:r>
      <w:r w:rsidR="0062794A">
        <w:t>Scotland’s</w:t>
      </w:r>
      <w:r w:rsidR="001B2AAA">
        <w:t xml:space="preserve"> Student Engagement Framework)</w:t>
      </w:r>
      <w:r w:rsidR="0030157B">
        <w:t>.</w:t>
      </w:r>
    </w:p>
    <w:p w:rsidR="0062794A" w:rsidRDefault="00846990" w:rsidP="00846990">
      <w:pPr>
        <w:pStyle w:val="ListParagraph"/>
        <w:numPr>
          <w:ilvl w:val="0"/>
          <w:numId w:val="12"/>
        </w:numPr>
      </w:pPr>
      <w:r w:rsidRPr="0062794A">
        <w:rPr>
          <w:b/>
        </w:rPr>
        <w:t>Where they want to be</w:t>
      </w:r>
      <w:r w:rsidR="0062794A">
        <w:t>, reflecting on questions around:</w:t>
      </w:r>
    </w:p>
    <w:p w:rsidR="0062794A" w:rsidRDefault="0062794A" w:rsidP="0062794A">
      <w:pPr>
        <w:pStyle w:val="ListParagraph"/>
        <w:numPr>
          <w:ilvl w:val="1"/>
          <w:numId w:val="12"/>
        </w:numPr>
      </w:pPr>
      <w:r>
        <w:t>Expected knowledge and role of student reps.</w:t>
      </w:r>
    </w:p>
    <w:p w:rsidR="0062794A" w:rsidRDefault="0062794A" w:rsidP="0062794A">
      <w:pPr>
        <w:pStyle w:val="ListParagraph"/>
        <w:numPr>
          <w:ilvl w:val="1"/>
          <w:numId w:val="12"/>
        </w:numPr>
      </w:pPr>
      <w:r>
        <w:t>Training and support requirement.</w:t>
      </w:r>
    </w:p>
    <w:p w:rsidR="0062794A" w:rsidRDefault="0062794A" w:rsidP="0062794A">
      <w:pPr>
        <w:pStyle w:val="ListParagraph"/>
        <w:numPr>
          <w:ilvl w:val="1"/>
          <w:numId w:val="12"/>
        </w:numPr>
      </w:pPr>
      <w:r>
        <w:t>Staff engagement</w:t>
      </w:r>
    </w:p>
    <w:p w:rsidR="0062794A" w:rsidRDefault="0062794A" w:rsidP="0062794A">
      <w:pPr>
        <w:pStyle w:val="ListParagraph"/>
        <w:numPr>
          <w:ilvl w:val="1"/>
          <w:numId w:val="12"/>
        </w:numPr>
      </w:pPr>
      <w:r>
        <w:t>Communication structures.</w:t>
      </w:r>
    </w:p>
    <w:p w:rsidR="00846990" w:rsidRDefault="0062794A" w:rsidP="0062794A">
      <w:pPr>
        <w:pStyle w:val="ListParagraph"/>
        <w:numPr>
          <w:ilvl w:val="1"/>
          <w:numId w:val="12"/>
        </w:numPr>
      </w:pPr>
      <w:r>
        <w:t>Measuring impact</w:t>
      </w:r>
      <w:r w:rsidR="0030157B">
        <w:t>.</w:t>
      </w:r>
    </w:p>
    <w:p w:rsidR="0030157B" w:rsidRDefault="00846990" w:rsidP="00846990">
      <w:pPr>
        <w:pStyle w:val="ListParagraph"/>
        <w:numPr>
          <w:ilvl w:val="0"/>
          <w:numId w:val="12"/>
        </w:numPr>
      </w:pPr>
      <w:r w:rsidRPr="0062794A">
        <w:rPr>
          <w:b/>
        </w:rPr>
        <w:t>How they will get there</w:t>
      </w:r>
      <w:r w:rsidR="0062794A">
        <w:t xml:space="preserve"> – allowing </w:t>
      </w:r>
      <w:r>
        <w:t>for production of a draft actio</w:t>
      </w:r>
      <w:r w:rsidR="00331395">
        <w:t>n plan</w:t>
      </w:r>
      <w:r w:rsidR="0030157B">
        <w:t>.</w:t>
      </w:r>
    </w:p>
    <w:p w:rsidR="001B2AAA" w:rsidRDefault="001B2AAA" w:rsidP="00093176">
      <w:pPr>
        <w:rPr>
          <w:b/>
        </w:rPr>
      </w:pPr>
    </w:p>
    <w:p w:rsidR="00695CE3" w:rsidRDefault="00695CE3" w:rsidP="00331395">
      <w:r>
        <w:t xml:space="preserve">Parallel timetables can also be developed to allow each Armenian partner a short </w:t>
      </w:r>
      <w:r w:rsidR="001B2AAA">
        <w:t xml:space="preserve">informationor discussion </w:t>
      </w:r>
      <w:r>
        <w:t xml:space="preserve">session with each of the relevant European </w:t>
      </w:r>
      <w:r w:rsidR="00331395">
        <w:t>partners.</w:t>
      </w:r>
    </w:p>
    <w:p w:rsidR="00695CE3" w:rsidRDefault="00695CE3" w:rsidP="00695CE3"/>
    <w:p w:rsidR="001B2AAA" w:rsidRPr="00E6711E" w:rsidRDefault="001B2AAA" w:rsidP="00695CE3">
      <w:pPr>
        <w:rPr>
          <w:i/>
          <w:color w:val="2E74B5" w:themeColor="accent1" w:themeShade="BF"/>
          <w:szCs w:val="20"/>
        </w:rPr>
      </w:pPr>
      <w:r w:rsidRPr="00E6711E">
        <w:rPr>
          <w:b/>
          <w:color w:val="2E74B5" w:themeColor="accent1" w:themeShade="BF"/>
          <w:szCs w:val="20"/>
        </w:rPr>
        <w:t xml:space="preserve">Part 4 – Learning and </w:t>
      </w:r>
      <w:r w:rsidR="00331395" w:rsidRPr="00E6711E">
        <w:rPr>
          <w:b/>
          <w:color w:val="2E74B5" w:themeColor="accent1" w:themeShade="BF"/>
          <w:szCs w:val="20"/>
        </w:rPr>
        <w:t>sharing</w:t>
      </w:r>
    </w:p>
    <w:p w:rsidR="001B2AAA" w:rsidRPr="00E6711E" w:rsidRDefault="001B2AAA" w:rsidP="00695CE3">
      <w:pPr>
        <w:rPr>
          <w:color w:val="2E74B5" w:themeColor="accent1" w:themeShade="BF"/>
        </w:rPr>
      </w:pPr>
    </w:p>
    <w:p w:rsidR="001B2AAA" w:rsidRDefault="001B2AAA" w:rsidP="001B2AAA">
      <w:r>
        <w:t xml:space="preserve">The concluding session </w:t>
      </w:r>
      <w:r w:rsidR="00E6711E">
        <w:t xml:space="preserve">on Wednesday afternoon 14.30 – 16.00 </w:t>
      </w:r>
      <w:r>
        <w:t xml:space="preserve">will </w:t>
      </w:r>
      <w:r w:rsidR="00331395">
        <w:t>provide an opportunity, if desired,</w:t>
      </w:r>
      <w:r>
        <w:t xml:space="preserve"> for learning and sharing between each organisation on their emerging plans.</w:t>
      </w:r>
    </w:p>
    <w:p w:rsidR="001B2AAA" w:rsidRDefault="001B2AAA" w:rsidP="001B2AAA"/>
    <w:p w:rsidR="00695CE3" w:rsidRPr="00695CE3" w:rsidRDefault="001B2AAA" w:rsidP="00695CE3">
      <w:r>
        <w:t>There will be a short conclusion to the session highlighting the common themes that have been identified through the three days’ work and consultancy, and linking these to the forthcoming work packages.</w:t>
      </w:r>
    </w:p>
    <w:sectPr w:rsidR="00695CE3" w:rsidRPr="00695CE3" w:rsidSect="005319C6">
      <w:headerReference w:type="default" r:id="rId12"/>
      <w:footerReference w:type="default" r:id="rId13"/>
      <w:headerReference w:type="first" r:id="rId14"/>
      <w:pgSz w:w="11906" w:h="16838"/>
      <w:pgMar w:top="1440" w:right="1440" w:bottom="900" w:left="1440" w:header="70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E5" w:rsidRDefault="009022E5" w:rsidP="00443D75">
      <w:r>
        <w:separator/>
      </w:r>
    </w:p>
  </w:endnote>
  <w:endnote w:type="continuationSeparator" w:id="1">
    <w:p w:rsidR="009022E5" w:rsidRDefault="009022E5" w:rsidP="00443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328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D75" w:rsidRDefault="00E57028">
        <w:pPr>
          <w:pStyle w:val="Footer"/>
          <w:jc w:val="center"/>
        </w:pPr>
        <w:r>
          <w:fldChar w:fldCharType="begin"/>
        </w:r>
        <w:r w:rsidR="00443D75">
          <w:instrText xml:space="preserve"> PAGE   \* MERGEFORMAT </w:instrText>
        </w:r>
        <w:r>
          <w:fldChar w:fldCharType="separate"/>
        </w:r>
        <w:r w:rsidR="00531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D75" w:rsidRDefault="00443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E5" w:rsidRDefault="009022E5" w:rsidP="00443D75">
      <w:r>
        <w:separator/>
      </w:r>
    </w:p>
  </w:footnote>
  <w:footnote w:type="continuationSeparator" w:id="1">
    <w:p w:rsidR="009022E5" w:rsidRDefault="009022E5" w:rsidP="00443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B0" w:rsidRDefault="00B8356D" w:rsidP="00B8356D">
    <w:pPr>
      <w:pStyle w:val="Header"/>
    </w:pPr>
    <w:r>
      <w:tab/>
    </w:r>
    <w:r>
      <w:tab/>
    </w:r>
  </w:p>
  <w:p w:rsidR="00C27BB0" w:rsidRDefault="00C27B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6D" w:rsidRDefault="00B8356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-410210</wp:posOffset>
          </wp:positionV>
          <wp:extent cx="7543800" cy="876300"/>
          <wp:effectExtent l="0" t="0" r="0" b="0"/>
          <wp:wrapNone/>
          <wp:docPr id="3" name="Picture 3" descr="Description: Untitled:Users:serbanescuadrian:Desktop:ESPAQ_2015:mai_2015:png:1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Untitled:Users:serbanescuadrian:Desktop:ESPAQ_2015:mai_2015:png:1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1783"/>
                  <a:stretch/>
                </pic:blipFill>
                <pic:spPr bwMode="auto">
                  <a:xfrm>
                    <a:off x="0" y="0"/>
                    <a:ext cx="7543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FC"/>
    <w:multiLevelType w:val="hybridMultilevel"/>
    <w:tmpl w:val="3B9EB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2FB6"/>
    <w:multiLevelType w:val="hybridMultilevel"/>
    <w:tmpl w:val="1258F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4FE1"/>
    <w:multiLevelType w:val="multilevel"/>
    <w:tmpl w:val="41804E72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23EC4D7D"/>
    <w:multiLevelType w:val="hybridMultilevel"/>
    <w:tmpl w:val="FD16E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7FF"/>
    <w:multiLevelType w:val="hybridMultilevel"/>
    <w:tmpl w:val="E24E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52B9D"/>
    <w:multiLevelType w:val="hybridMultilevel"/>
    <w:tmpl w:val="D26A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4745"/>
    <w:multiLevelType w:val="hybridMultilevel"/>
    <w:tmpl w:val="C51EA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430"/>
    <w:multiLevelType w:val="hybridMultilevel"/>
    <w:tmpl w:val="0D2E0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3113F"/>
    <w:multiLevelType w:val="hybridMultilevel"/>
    <w:tmpl w:val="BCACA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E4B3E"/>
    <w:multiLevelType w:val="hybridMultilevel"/>
    <w:tmpl w:val="53FE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67A8E"/>
    <w:multiLevelType w:val="hybridMultilevel"/>
    <w:tmpl w:val="B2DA0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220F"/>
    <w:multiLevelType w:val="hybridMultilevel"/>
    <w:tmpl w:val="9FEC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B0BA2"/>
    <w:multiLevelType w:val="hybridMultilevel"/>
    <w:tmpl w:val="DC4E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86601"/>
    <w:multiLevelType w:val="hybridMultilevel"/>
    <w:tmpl w:val="27DCA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72CE8"/>
    <w:multiLevelType w:val="hybridMultilevel"/>
    <w:tmpl w:val="DB5A9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902C3"/>
    <w:multiLevelType w:val="hybridMultilevel"/>
    <w:tmpl w:val="36D0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E4300"/>
    <w:multiLevelType w:val="hybridMultilevel"/>
    <w:tmpl w:val="1B5C0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2"/>
  </w:num>
  <w:num w:numId="11">
    <w:abstractNumId w:val="3"/>
  </w:num>
  <w:num w:numId="12">
    <w:abstractNumId w:val="10"/>
  </w:num>
  <w:num w:numId="13">
    <w:abstractNumId w:val="16"/>
  </w:num>
  <w:num w:numId="14">
    <w:abstractNumId w:val="11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8C6DA7"/>
    <w:rsid w:val="00006CA4"/>
    <w:rsid w:val="000538C5"/>
    <w:rsid w:val="00093176"/>
    <w:rsid w:val="0010400F"/>
    <w:rsid w:val="00105507"/>
    <w:rsid w:val="001407AD"/>
    <w:rsid w:val="00156714"/>
    <w:rsid w:val="001B2AAA"/>
    <w:rsid w:val="002737FF"/>
    <w:rsid w:val="0030157B"/>
    <w:rsid w:val="00331395"/>
    <w:rsid w:val="0034525F"/>
    <w:rsid w:val="00394C83"/>
    <w:rsid w:val="003B6205"/>
    <w:rsid w:val="003C6E00"/>
    <w:rsid w:val="00443D75"/>
    <w:rsid w:val="004823EE"/>
    <w:rsid w:val="004B614E"/>
    <w:rsid w:val="004C3EA5"/>
    <w:rsid w:val="004D0BEC"/>
    <w:rsid w:val="004E3E4C"/>
    <w:rsid w:val="00500F19"/>
    <w:rsid w:val="0052659B"/>
    <w:rsid w:val="00531247"/>
    <w:rsid w:val="005319C6"/>
    <w:rsid w:val="00565BF8"/>
    <w:rsid w:val="00581A74"/>
    <w:rsid w:val="0062794A"/>
    <w:rsid w:val="00672BA3"/>
    <w:rsid w:val="006819BB"/>
    <w:rsid w:val="00695CE3"/>
    <w:rsid w:val="007D2A6A"/>
    <w:rsid w:val="007D6AE3"/>
    <w:rsid w:val="00812897"/>
    <w:rsid w:val="00846990"/>
    <w:rsid w:val="00853C79"/>
    <w:rsid w:val="00891529"/>
    <w:rsid w:val="00892687"/>
    <w:rsid w:val="008A258D"/>
    <w:rsid w:val="008C6DA7"/>
    <w:rsid w:val="009022E5"/>
    <w:rsid w:val="009165EB"/>
    <w:rsid w:val="00933AA9"/>
    <w:rsid w:val="00A42864"/>
    <w:rsid w:val="00B30A8D"/>
    <w:rsid w:val="00B33F8F"/>
    <w:rsid w:val="00B571EC"/>
    <w:rsid w:val="00B8356D"/>
    <w:rsid w:val="00BE0AC4"/>
    <w:rsid w:val="00C27BB0"/>
    <w:rsid w:val="00DA3F4E"/>
    <w:rsid w:val="00DB7FB2"/>
    <w:rsid w:val="00E21B67"/>
    <w:rsid w:val="00E40EF7"/>
    <w:rsid w:val="00E57028"/>
    <w:rsid w:val="00E6711E"/>
    <w:rsid w:val="00E847F8"/>
    <w:rsid w:val="00ED3123"/>
    <w:rsid w:val="00EE6FA8"/>
    <w:rsid w:val="00F1390C"/>
    <w:rsid w:val="00F4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D75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43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75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C27B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72B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.uk/maps/place/Union+of+Architects/@40.1910866,44.5107472,17z/data=!3m1!4b1!4m2!3m1!1s0x406abd19245186fd:0xeb3bd02b0ab667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0" ma:contentTypeDescription="Create a new document." ma:contentTypeScope="" ma:versionID="61cc531ca2cb3e85f91b6637ceb171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f8169cf1dafad93c74c0165d25e83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7ACF9-06D2-4F90-A5E1-47A6BF16832E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8E89E3-1CC2-4EE3-8BDC-DA1D261D5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7A518-0312-4BAC-B64B-E4FA8D01A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Varwell</dc:creator>
  <cp:keywords/>
  <dc:description/>
  <cp:lastModifiedBy>Admin</cp:lastModifiedBy>
  <cp:revision>2</cp:revision>
  <cp:lastPrinted>2015-10-05T09:23:00Z</cp:lastPrinted>
  <dcterms:created xsi:type="dcterms:W3CDTF">2015-10-05T09:25:00Z</dcterms:created>
  <dcterms:modified xsi:type="dcterms:W3CDTF">2015-10-05T09:25:00Z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0x010100DB017B8B50F3B14692F9C229BA8D711C</vt:lpwstr>
  </property>
  <property fmtid="{D5CDD505-2E9C-101B-9397-08002B2CF9AE}" pid="3" name="IsMyDocuments">
    <vt:bool>true</vt:bool>
  </property>
</Properties>
</file>