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092CF" w14:textId="6D94E9BD" w:rsidR="008A258D" w:rsidRDefault="008A258D" w:rsidP="008C6DA7">
      <w:pPr>
        <w:jc w:val="center"/>
        <w:rPr>
          <w:b/>
          <w:sz w:val="32"/>
          <w:szCs w:val="32"/>
        </w:rPr>
      </w:pPr>
      <w:bookmarkStart w:id="0" w:name="_GoBack"/>
      <w:bookmarkEnd w:id="0"/>
    </w:p>
    <w:p w14:paraId="598BA463" w14:textId="08307C27" w:rsidR="00B8356D" w:rsidRPr="00B8356D" w:rsidRDefault="00B8356D" w:rsidP="008C6DA7">
      <w:pPr>
        <w:jc w:val="center"/>
        <w:rPr>
          <w:b/>
          <w:sz w:val="16"/>
          <w:szCs w:val="32"/>
        </w:rPr>
      </w:pPr>
    </w:p>
    <w:p w14:paraId="2F526BA1" w14:textId="7CF695A8" w:rsidR="0052659B" w:rsidRPr="009165EB" w:rsidRDefault="008A258D" w:rsidP="008C6DA7">
      <w:pPr>
        <w:jc w:val="center"/>
        <w:rPr>
          <w:b/>
          <w:sz w:val="32"/>
          <w:szCs w:val="32"/>
        </w:rPr>
      </w:pPr>
      <w:r>
        <w:rPr>
          <w:b/>
          <w:sz w:val="32"/>
          <w:szCs w:val="32"/>
        </w:rPr>
        <w:t>Student Engagement Conference</w:t>
      </w:r>
    </w:p>
    <w:p w14:paraId="07F7D80F" w14:textId="77777777" w:rsidR="009165EB" w:rsidRDefault="009165EB" w:rsidP="00853C79">
      <w:pPr>
        <w:jc w:val="center"/>
      </w:pPr>
    </w:p>
    <w:p w14:paraId="4A285F63" w14:textId="77777777" w:rsidR="009165EB" w:rsidRDefault="009165EB"/>
    <w:p w14:paraId="062122DB" w14:textId="63482503" w:rsidR="007D2A6A" w:rsidRDefault="007D2A6A" w:rsidP="007D2A6A">
      <w:pPr>
        <w:jc w:val="center"/>
        <w:rPr>
          <w:b/>
          <w:sz w:val="24"/>
          <w:szCs w:val="24"/>
        </w:rPr>
      </w:pPr>
      <w:r w:rsidRPr="008A258D">
        <w:rPr>
          <w:b/>
          <w:sz w:val="24"/>
          <w:szCs w:val="24"/>
        </w:rPr>
        <w:t>H</w:t>
      </w:r>
      <w:r w:rsidR="009165EB" w:rsidRPr="008A258D">
        <w:rPr>
          <w:b/>
          <w:sz w:val="24"/>
          <w:szCs w:val="24"/>
        </w:rPr>
        <w:t>ost</w:t>
      </w:r>
      <w:r w:rsidR="008A258D" w:rsidRPr="008A258D">
        <w:rPr>
          <w:b/>
          <w:sz w:val="24"/>
          <w:szCs w:val="24"/>
        </w:rPr>
        <w:t>ed by</w:t>
      </w:r>
      <w:r w:rsidR="009165EB" w:rsidRPr="008A258D">
        <w:rPr>
          <w:b/>
          <w:sz w:val="24"/>
          <w:szCs w:val="24"/>
        </w:rPr>
        <w:t xml:space="preserve">: </w:t>
      </w:r>
      <w:r w:rsidRPr="008A258D">
        <w:rPr>
          <w:b/>
          <w:sz w:val="24"/>
          <w:szCs w:val="24"/>
        </w:rPr>
        <w:t>National University of Architecture and</w:t>
      </w:r>
      <w:r w:rsidR="00F059CD">
        <w:rPr>
          <w:b/>
          <w:sz w:val="24"/>
          <w:szCs w:val="24"/>
        </w:rPr>
        <w:t xml:space="preserve"> Construction of Armenia (NUACA) at </w:t>
      </w:r>
      <w:r w:rsidR="00F059CD" w:rsidRPr="00F059CD">
        <w:rPr>
          <w:b/>
          <w:sz w:val="24"/>
          <w:szCs w:val="24"/>
        </w:rPr>
        <w:t>The Union of Architects of the Republic of Armenia</w:t>
      </w:r>
      <w:r w:rsidR="00F059CD">
        <w:rPr>
          <w:b/>
          <w:sz w:val="24"/>
          <w:szCs w:val="24"/>
        </w:rPr>
        <w:t xml:space="preserve">, </w:t>
      </w:r>
      <w:r w:rsidR="00F059CD" w:rsidRPr="00F059CD">
        <w:rPr>
          <w:b/>
          <w:sz w:val="24"/>
          <w:szCs w:val="24"/>
        </w:rPr>
        <w:t>M.</w:t>
      </w:r>
      <w:r w:rsidR="00F059CD">
        <w:rPr>
          <w:b/>
          <w:sz w:val="24"/>
          <w:szCs w:val="24"/>
        </w:rPr>
        <w:t xml:space="preserve"> </w:t>
      </w:r>
      <w:hyperlink r:id="rId11" w:history="1">
        <w:r w:rsidR="00F059CD" w:rsidRPr="00F059CD">
          <w:rPr>
            <w:rStyle w:val="Hyperlink"/>
            <w:b/>
            <w:sz w:val="24"/>
            <w:szCs w:val="24"/>
          </w:rPr>
          <w:t>Bagramyan st. 17</w:t>
        </w:r>
      </w:hyperlink>
      <w:r w:rsidR="00F059CD" w:rsidRPr="00F059CD">
        <w:rPr>
          <w:b/>
          <w:sz w:val="24"/>
          <w:szCs w:val="24"/>
        </w:rPr>
        <w:t>, Yerevan.</w:t>
      </w:r>
    </w:p>
    <w:p w14:paraId="3CBC9242" w14:textId="77777777" w:rsidR="008A258D" w:rsidRPr="00B8356D" w:rsidRDefault="008A258D" w:rsidP="007D2A6A">
      <w:pPr>
        <w:jc w:val="center"/>
        <w:rPr>
          <w:b/>
          <w:sz w:val="14"/>
          <w:szCs w:val="24"/>
        </w:rPr>
      </w:pPr>
    </w:p>
    <w:p w14:paraId="09E02BB0" w14:textId="598917EE" w:rsidR="00443D75" w:rsidRPr="008A258D" w:rsidRDefault="007D2A6A" w:rsidP="007D2A6A">
      <w:pPr>
        <w:jc w:val="center"/>
        <w:rPr>
          <w:b/>
          <w:sz w:val="24"/>
          <w:szCs w:val="24"/>
        </w:rPr>
      </w:pPr>
      <w:r w:rsidRPr="008A258D">
        <w:rPr>
          <w:b/>
          <w:sz w:val="24"/>
          <w:szCs w:val="24"/>
        </w:rPr>
        <w:t xml:space="preserve">Monday 26 </w:t>
      </w:r>
      <w:r w:rsidR="00443D75" w:rsidRPr="008A258D">
        <w:rPr>
          <w:b/>
          <w:sz w:val="24"/>
          <w:szCs w:val="24"/>
        </w:rPr>
        <w:t>October 2015</w:t>
      </w:r>
      <w:r w:rsidR="0030157B" w:rsidRPr="008A258D">
        <w:rPr>
          <w:b/>
          <w:sz w:val="24"/>
          <w:szCs w:val="24"/>
        </w:rPr>
        <w:t xml:space="preserve"> to Wednesday 28 October 2015</w:t>
      </w:r>
    </w:p>
    <w:p w14:paraId="77F8C6CA" w14:textId="77777777" w:rsidR="008C6DA7" w:rsidRDefault="008C6DA7"/>
    <w:p w14:paraId="1E6EED02" w14:textId="7EBEDA8F" w:rsidR="00ED3123" w:rsidRPr="00F059CD" w:rsidRDefault="00F059CD" w:rsidP="00F059CD">
      <w:pPr>
        <w:jc w:val="center"/>
        <w:rPr>
          <w:b/>
          <w:sz w:val="24"/>
          <w:szCs w:val="24"/>
        </w:rPr>
      </w:pPr>
      <w:r w:rsidRPr="00F059CD">
        <w:rPr>
          <w:b/>
          <w:sz w:val="24"/>
          <w:szCs w:val="24"/>
        </w:rPr>
        <w:t>Agenda</w:t>
      </w:r>
    </w:p>
    <w:p w14:paraId="20873454" w14:textId="77777777" w:rsidR="00ED3123" w:rsidRPr="00B8356D" w:rsidRDefault="00ED3123" w:rsidP="009165EB">
      <w:pPr>
        <w:rPr>
          <w:b/>
          <w:sz w:val="14"/>
          <w:szCs w:val="20"/>
        </w:rPr>
      </w:pPr>
    </w:p>
    <w:p w14:paraId="58697517" w14:textId="3C1A96FE" w:rsidR="00672BA3" w:rsidRPr="00D06374" w:rsidRDefault="00ED3123" w:rsidP="00D06374">
      <w:pPr>
        <w:jc w:val="center"/>
        <w:rPr>
          <w:i/>
          <w:szCs w:val="20"/>
        </w:rPr>
      </w:pPr>
      <w:r w:rsidRPr="00D06374">
        <w:rPr>
          <w:b/>
          <w:i/>
          <w:szCs w:val="20"/>
        </w:rPr>
        <w:t>Monday 26</w:t>
      </w:r>
      <w:r w:rsidRPr="00D06374">
        <w:rPr>
          <w:b/>
          <w:i/>
          <w:szCs w:val="20"/>
          <w:vertAlign w:val="superscript"/>
        </w:rPr>
        <w:t>th</w:t>
      </w:r>
      <w:r w:rsidR="00F059CD" w:rsidRPr="00D06374">
        <w:rPr>
          <w:b/>
          <w:i/>
          <w:szCs w:val="20"/>
        </w:rPr>
        <w:t xml:space="preserve"> October</w:t>
      </w:r>
    </w:p>
    <w:p w14:paraId="3F9EF50F" w14:textId="77777777" w:rsidR="00672BA3" w:rsidRPr="00ED3123" w:rsidRDefault="00672BA3" w:rsidP="009165EB">
      <w:pPr>
        <w:rPr>
          <w:szCs w:val="20"/>
        </w:rPr>
      </w:pPr>
    </w:p>
    <w:p w14:paraId="5C24F4FE" w14:textId="77777777" w:rsidR="007D6AE3" w:rsidRPr="007D6AE3" w:rsidRDefault="00ED3123" w:rsidP="00ED3123">
      <w:pPr>
        <w:rPr>
          <w:b/>
        </w:rPr>
      </w:pPr>
      <w:r w:rsidRPr="007D6AE3">
        <w:rPr>
          <w:b/>
        </w:rPr>
        <w:t>9.00</w:t>
      </w:r>
      <w:r w:rsidRPr="007D6AE3">
        <w:rPr>
          <w:b/>
        </w:rPr>
        <w:tab/>
        <w:t>Welcome and Registration</w:t>
      </w:r>
    </w:p>
    <w:p w14:paraId="3BC699ED" w14:textId="77777777" w:rsidR="007D6AE3" w:rsidRDefault="007D6AE3" w:rsidP="00ED3123"/>
    <w:p w14:paraId="4D0BFA47" w14:textId="4B3644CB" w:rsidR="007D6AE3" w:rsidRPr="00E6711E" w:rsidRDefault="007D6AE3" w:rsidP="00D06374">
      <w:pPr>
        <w:rPr>
          <w:b/>
          <w:color w:val="2E74B5" w:themeColor="accent1" w:themeShade="BF"/>
        </w:rPr>
      </w:pPr>
      <w:r w:rsidRPr="00E6711E">
        <w:rPr>
          <w:b/>
          <w:color w:val="2E74B5" w:themeColor="accent1" w:themeShade="BF"/>
        </w:rPr>
        <w:t>Part 1 - Context</w:t>
      </w:r>
    </w:p>
    <w:p w14:paraId="4E960499" w14:textId="77777777" w:rsidR="007D6AE3" w:rsidRDefault="007D6AE3" w:rsidP="00ED3123"/>
    <w:p w14:paraId="3566A6CC" w14:textId="631F6D81" w:rsidR="007D6AE3" w:rsidRDefault="007D6AE3" w:rsidP="00ED3123">
      <w:r w:rsidRPr="007D6AE3">
        <w:rPr>
          <w:b/>
        </w:rPr>
        <w:t>9.30</w:t>
      </w:r>
      <w:r w:rsidRPr="007D6AE3">
        <w:rPr>
          <w:b/>
        </w:rPr>
        <w:tab/>
        <w:t>Institutional welcome</w:t>
      </w:r>
      <w:r>
        <w:t xml:space="preserve"> </w:t>
      </w:r>
    </w:p>
    <w:p w14:paraId="7C0530B0" w14:textId="77777777" w:rsidR="007D6AE3" w:rsidRDefault="007D6AE3" w:rsidP="00ED3123"/>
    <w:p w14:paraId="21676331" w14:textId="47B8E8E5" w:rsidR="00B571EC" w:rsidRDefault="007D6AE3" w:rsidP="007D6AE3">
      <w:pPr>
        <w:ind w:left="720" w:hanging="720"/>
      </w:pPr>
      <w:r w:rsidRPr="007D6AE3">
        <w:rPr>
          <w:b/>
        </w:rPr>
        <w:t>10.00</w:t>
      </w:r>
      <w:r w:rsidRPr="007D6AE3">
        <w:rPr>
          <w:b/>
        </w:rPr>
        <w:tab/>
        <w:t>European context</w:t>
      </w:r>
      <w:r>
        <w:t xml:space="preserve"> </w:t>
      </w:r>
    </w:p>
    <w:p w14:paraId="43076381" w14:textId="77777777" w:rsidR="007D6AE3" w:rsidRDefault="007D6AE3" w:rsidP="007D6AE3"/>
    <w:p w14:paraId="7F843C59" w14:textId="37D280F2" w:rsidR="007D6AE3" w:rsidRDefault="007D6AE3" w:rsidP="00F059CD">
      <w:r w:rsidRPr="007D6AE3">
        <w:rPr>
          <w:b/>
        </w:rPr>
        <w:t>10.30</w:t>
      </w:r>
      <w:r w:rsidRPr="007D6AE3">
        <w:rPr>
          <w:b/>
        </w:rPr>
        <w:tab/>
      </w:r>
      <w:r w:rsidR="004D20FC" w:rsidRPr="007D6AE3">
        <w:rPr>
          <w:b/>
        </w:rPr>
        <w:t>A Framework for Student Engagement</w:t>
      </w:r>
      <w:r w:rsidR="004D20FC">
        <w:t xml:space="preserve"> </w:t>
      </w:r>
      <w:r>
        <w:rPr>
          <w:b/>
        </w:rPr>
        <w:t xml:space="preserve"> </w:t>
      </w:r>
    </w:p>
    <w:p w14:paraId="51DD0903" w14:textId="77777777" w:rsidR="007D6AE3" w:rsidRDefault="007D6AE3" w:rsidP="007D6AE3"/>
    <w:p w14:paraId="2574D0A5" w14:textId="6F81E2FC" w:rsidR="007D6AE3" w:rsidRPr="007D6AE3" w:rsidRDefault="004D20FC" w:rsidP="007D6AE3">
      <w:pPr>
        <w:rPr>
          <w:b/>
        </w:rPr>
      </w:pPr>
      <w:r>
        <w:rPr>
          <w:b/>
        </w:rPr>
        <w:t>11.30</w:t>
      </w:r>
      <w:r w:rsidR="007D6AE3" w:rsidRPr="007D6AE3">
        <w:rPr>
          <w:b/>
        </w:rPr>
        <w:tab/>
        <w:t>Break</w:t>
      </w:r>
    </w:p>
    <w:p w14:paraId="7030A08F" w14:textId="77777777" w:rsidR="00B8356D" w:rsidRDefault="00B8356D" w:rsidP="007D6AE3">
      <w:pPr>
        <w:ind w:left="720" w:hanging="720"/>
        <w:rPr>
          <w:b/>
        </w:rPr>
      </w:pPr>
    </w:p>
    <w:p w14:paraId="57388BF1" w14:textId="37D2DFC5" w:rsidR="00F059CD" w:rsidRDefault="007D6AE3" w:rsidP="007D6AE3">
      <w:pPr>
        <w:ind w:left="720" w:hanging="720"/>
      </w:pPr>
      <w:r w:rsidRPr="007D6AE3">
        <w:rPr>
          <w:b/>
        </w:rPr>
        <w:t>1</w:t>
      </w:r>
      <w:r w:rsidR="004D20FC">
        <w:rPr>
          <w:b/>
        </w:rPr>
        <w:t>2.00</w:t>
      </w:r>
      <w:r w:rsidR="004D20FC">
        <w:rPr>
          <w:b/>
        </w:rPr>
        <w:tab/>
        <w:t>Overview of the ESPAQ Project</w:t>
      </w:r>
      <w:r w:rsidRPr="007D6AE3">
        <w:rPr>
          <w:b/>
        </w:rPr>
        <w:tab/>
      </w:r>
      <w:r>
        <w:t xml:space="preserve"> </w:t>
      </w:r>
    </w:p>
    <w:p w14:paraId="2F62CE33" w14:textId="77777777" w:rsidR="00F059CD" w:rsidRDefault="00F059CD" w:rsidP="007D6AE3">
      <w:pPr>
        <w:ind w:left="720" w:hanging="720"/>
      </w:pPr>
    </w:p>
    <w:p w14:paraId="501C026D" w14:textId="2F5D751E" w:rsidR="007D6AE3" w:rsidRDefault="007D6AE3" w:rsidP="007D6AE3">
      <w:pPr>
        <w:ind w:left="720" w:hanging="720"/>
        <w:rPr>
          <w:b/>
        </w:rPr>
      </w:pPr>
      <w:r w:rsidRPr="007D6AE3">
        <w:rPr>
          <w:b/>
        </w:rPr>
        <w:t>Lunch</w:t>
      </w:r>
    </w:p>
    <w:p w14:paraId="3A412256" w14:textId="77777777" w:rsidR="00F059CD" w:rsidRPr="007D6AE3" w:rsidRDefault="00F059CD" w:rsidP="007D6AE3">
      <w:pPr>
        <w:ind w:left="720" w:hanging="720"/>
        <w:rPr>
          <w:b/>
        </w:rPr>
      </w:pPr>
    </w:p>
    <w:p w14:paraId="07E783E0" w14:textId="60D09A0A" w:rsidR="009165EB" w:rsidRPr="00E6711E" w:rsidRDefault="00B571EC" w:rsidP="00D06374">
      <w:pPr>
        <w:rPr>
          <w:i/>
          <w:color w:val="2E74B5" w:themeColor="accent1" w:themeShade="BF"/>
          <w:szCs w:val="20"/>
        </w:rPr>
      </w:pPr>
      <w:r w:rsidRPr="00E6711E">
        <w:rPr>
          <w:b/>
          <w:color w:val="2E74B5" w:themeColor="accent1" w:themeShade="BF"/>
          <w:szCs w:val="20"/>
        </w:rPr>
        <w:t>Part 2 – Reflection</w:t>
      </w:r>
    </w:p>
    <w:p w14:paraId="4FB8311E" w14:textId="77777777" w:rsidR="00B571EC" w:rsidRPr="00B8356D" w:rsidRDefault="00B571EC" w:rsidP="009165EB">
      <w:pPr>
        <w:rPr>
          <w:sz w:val="16"/>
        </w:rPr>
      </w:pPr>
    </w:p>
    <w:p w14:paraId="4265A21A" w14:textId="72E3FE45" w:rsidR="007D6AE3" w:rsidRDefault="007D6AE3" w:rsidP="007D6AE3">
      <w:pPr>
        <w:ind w:left="720" w:hanging="720"/>
      </w:pPr>
      <w:r>
        <w:rPr>
          <w:b/>
        </w:rPr>
        <w:t>14.00</w:t>
      </w:r>
      <w:r>
        <w:rPr>
          <w:b/>
        </w:rPr>
        <w:tab/>
      </w:r>
      <w:r w:rsidR="009165EB" w:rsidRPr="007D6AE3">
        <w:rPr>
          <w:b/>
        </w:rPr>
        <w:t>Students as experts</w:t>
      </w:r>
    </w:p>
    <w:p w14:paraId="74971B11" w14:textId="77777777" w:rsidR="007D6AE3" w:rsidRPr="00B8356D" w:rsidRDefault="007D6AE3" w:rsidP="007D6AE3">
      <w:pPr>
        <w:ind w:left="720" w:hanging="720"/>
        <w:rPr>
          <w:sz w:val="16"/>
        </w:rPr>
      </w:pPr>
    </w:p>
    <w:p w14:paraId="07A20F99" w14:textId="2F9E8AB0" w:rsidR="00892687" w:rsidRDefault="007D6AE3" w:rsidP="007D6AE3">
      <w:pPr>
        <w:ind w:left="720" w:hanging="720"/>
      </w:pPr>
      <w:r>
        <w:rPr>
          <w:b/>
        </w:rPr>
        <w:t>14.45</w:t>
      </w:r>
      <w:r>
        <w:t xml:space="preserve"> </w:t>
      </w:r>
      <w:r>
        <w:rPr>
          <w:b/>
        </w:rPr>
        <w:t>S</w:t>
      </w:r>
      <w:r w:rsidR="00892687" w:rsidRPr="004D0BEC">
        <w:rPr>
          <w:b/>
        </w:rPr>
        <w:t>tudents as partners</w:t>
      </w:r>
      <w:r w:rsidR="00892687">
        <w:t xml:space="preserve"> </w:t>
      </w:r>
    </w:p>
    <w:p w14:paraId="6BA4B702" w14:textId="77777777" w:rsidR="007D6AE3" w:rsidRPr="00B8356D" w:rsidRDefault="007D6AE3" w:rsidP="007D6AE3">
      <w:pPr>
        <w:ind w:left="720" w:hanging="720"/>
        <w:rPr>
          <w:sz w:val="16"/>
        </w:rPr>
      </w:pPr>
    </w:p>
    <w:p w14:paraId="61E09ACF" w14:textId="120011D2" w:rsidR="007D6AE3" w:rsidRPr="007D6AE3" w:rsidRDefault="007D6AE3" w:rsidP="007D6AE3">
      <w:pPr>
        <w:ind w:left="720" w:hanging="720"/>
        <w:rPr>
          <w:b/>
        </w:rPr>
      </w:pPr>
      <w:r w:rsidRPr="007D6AE3">
        <w:rPr>
          <w:b/>
        </w:rPr>
        <w:t>15.30</w:t>
      </w:r>
      <w:r w:rsidRPr="007D6AE3">
        <w:rPr>
          <w:b/>
        </w:rPr>
        <w:tab/>
        <w:t>Break</w:t>
      </w:r>
    </w:p>
    <w:p w14:paraId="009FEAD1" w14:textId="77777777" w:rsidR="007D6AE3" w:rsidRPr="00B8356D" w:rsidRDefault="007D6AE3" w:rsidP="007D6AE3">
      <w:pPr>
        <w:ind w:left="720" w:hanging="720"/>
        <w:rPr>
          <w:sz w:val="16"/>
        </w:rPr>
      </w:pPr>
    </w:p>
    <w:p w14:paraId="1511E445" w14:textId="703B51E2" w:rsidR="001B2AAA" w:rsidRDefault="007D6AE3" w:rsidP="007D6AE3">
      <w:pPr>
        <w:ind w:left="720" w:hanging="720"/>
      </w:pPr>
      <w:r w:rsidRPr="007D6AE3">
        <w:rPr>
          <w:b/>
        </w:rPr>
        <w:t>15.45</w:t>
      </w:r>
      <w:r w:rsidRPr="007D6AE3">
        <w:rPr>
          <w:b/>
        </w:rPr>
        <w:tab/>
        <w:t>Tools of analysis</w:t>
      </w:r>
      <w:r>
        <w:t xml:space="preserve"> </w:t>
      </w:r>
    </w:p>
    <w:p w14:paraId="4E86D3BC" w14:textId="77777777" w:rsidR="007D6AE3" w:rsidRPr="00B8356D" w:rsidRDefault="007D6AE3" w:rsidP="007D6AE3">
      <w:pPr>
        <w:ind w:left="720" w:hanging="720"/>
        <w:rPr>
          <w:sz w:val="16"/>
        </w:rPr>
      </w:pPr>
    </w:p>
    <w:p w14:paraId="3034D5BB" w14:textId="2EC1440A" w:rsidR="007D6AE3" w:rsidRPr="007D6AE3" w:rsidRDefault="007D6AE3" w:rsidP="007D6AE3">
      <w:pPr>
        <w:ind w:left="720" w:hanging="720"/>
      </w:pPr>
      <w:r w:rsidRPr="007D6AE3">
        <w:rPr>
          <w:b/>
        </w:rPr>
        <w:t>16.30</w:t>
      </w:r>
      <w:r w:rsidRPr="007D6AE3">
        <w:rPr>
          <w:b/>
        </w:rPr>
        <w:tab/>
        <w:t>Preview of part 3</w:t>
      </w:r>
      <w:r>
        <w:t xml:space="preserve"> </w:t>
      </w:r>
    </w:p>
    <w:p w14:paraId="75F833BB" w14:textId="77777777" w:rsidR="007D6AE3" w:rsidRDefault="007D6AE3" w:rsidP="007D6AE3">
      <w:pPr>
        <w:ind w:left="720" w:hanging="720"/>
      </w:pPr>
    </w:p>
    <w:p w14:paraId="04C903DD" w14:textId="4FB1A953" w:rsidR="00D06374" w:rsidRPr="00D06374" w:rsidRDefault="00D06374" w:rsidP="00D06374">
      <w:pPr>
        <w:jc w:val="center"/>
        <w:rPr>
          <w:i/>
          <w:szCs w:val="20"/>
        </w:rPr>
      </w:pPr>
      <w:r w:rsidRPr="00D06374">
        <w:rPr>
          <w:b/>
          <w:i/>
          <w:szCs w:val="20"/>
        </w:rPr>
        <w:t>Tuesday 27</w:t>
      </w:r>
      <w:r w:rsidRPr="00D06374">
        <w:rPr>
          <w:b/>
          <w:i/>
          <w:szCs w:val="20"/>
          <w:vertAlign w:val="superscript"/>
        </w:rPr>
        <w:t>th</w:t>
      </w:r>
      <w:r w:rsidRPr="00D06374">
        <w:rPr>
          <w:b/>
          <w:i/>
          <w:szCs w:val="20"/>
        </w:rPr>
        <w:t xml:space="preserve"> October </w:t>
      </w:r>
      <w:r w:rsidR="0062168B">
        <w:rPr>
          <w:b/>
          <w:i/>
          <w:szCs w:val="20"/>
        </w:rPr>
        <w:t>and</w:t>
      </w:r>
      <w:r w:rsidRPr="00D06374">
        <w:rPr>
          <w:b/>
          <w:i/>
          <w:szCs w:val="20"/>
        </w:rPr>
        <w:t xml:space="preserve"> Wednesday 28</w:t>
      </w:r>
      <w:r w:rsidRPr="00D06374">
        <w:rPr>
          <w:b/>
          <w:i/>
          <w:szCs w:val="20"/>
          <w:vertAlign w:val="superscript"/>
        </w:rPr>
        <w:t>th</w:t>
      </w:r>
      <w:r w:rsidRPr="00D06374">
        <w:rPr>
          <w:b/>
          <w:i/>
          <w:szCs w:val="20"/>
        </w:rPr>
        <w:t xml:space="preserve"> October</w:t>
      </w:r>
    </w:p>
    <w:p w14:paraId="688F578F" w14:textId="77777777" w:rsidR="002737FF" w:rsidRPr="00D06374" w:rsidRDefault="002737FF" w:rsidP="00D06374">
      <w:pPr>
        <w:rPr>
          <w:sz w:val="16"/>
        </w:rPr>
      </w:pPr>
    </w:p>
    <w:p w14:paraId="794919D6" w14:textId="6F9ACC99" w:rsidR="00B571EC" w:rsidRPr="00E6711E" w:rsidRDefault="00B571EC" w:rsidP="00D06374">
      <w:pPr>
        <w:rPr>
          <w:color w:val="2E74B5" w:themeColor="accent1" w:themeShade="BF"/>
          <w:szCs w:val="20"/>
        </w:rPr>
      </w:pPr>
      <w:r w:rsidRPr="00E6711E">
        <w:rPr>
          <w:b/>
          <w:color w:val="2E74B5" w:themeColor="accent1" w:themeShade="BF"/>
          <w:szCs w:val="20"/>
        </w:rPr>
        <w:t>Part 3 – Planning</w:t>
      </w:r>
    </w:p>
    <w:p w14:paraId="7E9D06AA" w14:textId="77777777" w:rsidR="00695CE3" w:rsidRPr="00B8356D" w:rsidRDefault="00695CE3" w:rsidP="00B571EC">
      <w:pPr>
        <w:rPr>
          <w:sz w:val="16"/>
        </w:rPr>
      </w:pPr>
    </w:p>
    <w:p w14:paraId="42259958" w14:textId="154CFBC8" w:rsidR="00331395" w:rsidRDefault="00D06374" w:rsidP="00F059CD">
      <w:r>
        <w:t>Half</w:t>
      </w:r>
      <w:r w:rsidR="00B571EC">
        <w:t xml:space="preserve">-day </w:t>
      </w:r>
      <w:r w:rsidR="00F059CD">
        <w:t xml:space="preserve">consultancy </w:t>
      </w:r>
      <w:r w:rsidR="00B571EC">
        <w:t>session</w:t>
      </w:r>
      <w:r w:rsidR="00F059CD">
        <w:t>s</w:t>
      </w:r>
      <w:r w:rsidR="00B571EC">
        <w:t xml:space="preserve"> </w:t>
      </w:r>
      <w:r>
        <w:t>at</w:t>
      </w:r>
      <w:r w:rsidR="001B2AAA">
        <w:t xml:space="preserve"> </w:t>
      </w:r>
      <w:r w:rsidR="00B571EC">
        <w:t>each university or national agency from Armenia</w:t>
      </w:r>
      <w:r>
        <w:t>.</w:t>
      </w:r>
    </w:p>
    <w:p w14:paraId="1B56ABF1" w14:textId="77777777" w:rsidR="0062168B" w:rsidRDefault="0062168B" w:rsidP="00F059CD"/>
    <w:p w14:paraId="670EFD49" w14:textId="1744CFDF" w:rsidR="0062168B" w:rsidRDefault="0062168B" w:rsidP="00F059CD">
      <w:r>
        <w:t>The timetable for these sessions has been agreed at the Management Group Meeting in Bucharest 20-21</w:t>
      </w:r>
      <w:r w:rsidRPr="0062168B">
        <w:rPr>
          <w:vertAlign w:val="superscript"/>
        </w:rPr>
        <w:t>st</w:t>
      </w:r>
      <w:r>
        <w:t xml:space="preserve"> October. (see page 2) Apart from the first session with ANQA/MoES/ANSA which will take place at the ANQA offices, all others will take place at the respective university campus.</w:t>
      </w:r>
      <w:r w:rsidR="0081172C">
        <w:t xml:space="preserve"> For all but the first session we will be hoping to meet with members of the ESPAQ Project team, senior staff from the University and Quality team and students who attended day one of the conference in each university. </w:t>
      </w:r>
    </w:p>
    <w:p w14:paraId="0FFA2BCC" w14:textId="77777777" w:rsidR="0062168B" w:rsidRDefault="0062168B" w:rsidP="00F059CD"/>
    <w:p w14:paraId="36E56FF1" w14:textId="77777777" w:rsidR="0062168B" w:rsidRDefault="0062168B" w:rsidP="00F059CD"/>
    <w:p w14:paraId="7585F263" w14:textId="2EB0B5FA" w:rsidR="0062168B" w:rsidRPr="0062168B" w:rsidRDefault="0062168B" w:rsidP="00F059CD">
      <w:pPr>
        <w:rPr>
          <w:b/>
        </w:rPr>
      </w:pPr>
      <w:r w:rsidRPr="0062168B">
        <w:rPr>
          <w:b/>
        </w:rPr>
        <w:lastRenderedPageBreak/>
        <w:t>Tuesday</w:t>
      </w:r>
    </w:p>
    <w:p w14:paraId="561BD949" w14:textId="77777777" w:rsidR="0062168B" w:rsidRDefault="0062168B" w:rsidP="00F059CD"/>
    <w:p w14:paraId="404A0445" w14:textId="0F5E2AE5" w:rsidR="0062168B" w:rsidRDefault="0081172C" w:rsidP="00F059CD">
      <w:r>
        <w:t>10.0</w:t>
      </w:r>
      <w:r w:rsidR="0062168B">
        <w:t>0-12.30</w:t>
      </w:r>
      <w:r w:rsidR="0062168B">
        <w:tab/>
        <w:t>ANQA/MoES/ANSA hosted at ANQA office</w:t>
      </w:r>
    </w:p>
    <w:p w14:paraId="7292965E" w14:textId="7C75CA06" w:rsidR="0062168B" w:rsidRDefault="0081172C" w:rsidP="00F059CD">
      <w:r>
        <w:t>10.00</w:t>
      </w:r>
      <w:r w:rsidR="0062168B">
        <w:t>-12.30</w:t>
      </w:r>
      <w:r w:rsidR="0062168B">
        <w:tab/>
        <w:t>ASUE</w:t>
      </w:r>
    </w:p>
    <w:p w14:paraId="0E73103F" w14:textId="5CDB46FB" w:rsidR="0062168B" w:rsidRDefault="0081172C" w:rsidP="00F059CD">
      <w:r>
        <w:t>14.00-16.30</w:t>
      </w:r>
      <w:r w:rsidR="0062168B">
        <w:tab/>
        <w:t>YSAFA</w:t>
      </w:r>
    </w:p>
    <w:p w14:paraId="18991D67" w14:textId="396ECDFC" w:rsidR="0062168B" w:rsidRDefault="0062168B" w:rsidP="00F059CD">
      <w:r>
        <w:t>14.00-</w:t>
      </w:r>
      <w:r w:rsidR="0081172C">
        <w:t>16.30</w:t>
      </w:r>
      <w:r>
        <w:tab/>
        <w:t>NUACA</w:t>
      </w:r>
    </w:p>
    <w:p w14:paraId="58EEA424" w14:textId="77777777" w:rsidR="0062168B" w:rsidRDefault="0062168B" w:rsidP="00F059CD">
      <w:pPr>
        <w:rPr>
          <w:b/>
        </w:rPr>
      </w:pPr>
    </w:p>
    <w:p w14:paraId="7DEC4ACF" w14:textId="6CFEF39D" w:rsidR="0062168B" w:rsidRPr="0062168B" w:rsidRDefault="0062168B" w:rsidP="00F059CD">
      <w:pPr>
        <w:rPr>
          <w:b/>
        </w:rPr>
      </w:pPr>
      <w:r w:rsidRPr="0062168B">
        <w:rPr>
          <w:b/>
        </w:rPr>
        <w:t>Wednesday</w:t>
      </w:r>
    </w:p>
    <w:p w14:paraId="056BA80E" w14:textId="77777777" w:rsidR="0062168B" w:rsidRDefault="0062168B" w:rsidP="00F059CD"/>
    <w:p w14:paraId="2133896C" w14:textId="38DDDC1B" w:rsidR="0062168B" w:rsidRDefault="0062168B" w:rsidP="00F059CD">
      <w:r>
        <w:t>9.30-12.</w:t>
      </w:r>
      <w:r w:rsidR="0081172C">
        <w:t>00</w:t>
      </w:r>
      <w:r>
        <w:tab/>
        <w:t>ASPU</w:t>
      </w:r>
    </w:p>
    <w:p w14:paraId="6DB9BECC" w14:textId="244FD35F" w:rsidR="0062168B" w:rsidRDefault="0062168B" w:rsidP="00F059CD">
      <w:r>
        <w:t>9.30-12.</w:t>
      </w:r>
      <w:r w:rsidR="0081172C">
        <w:t>00</w:t>
      </w:r>
      <w:r>
        <w:tab/>
        <w:t>NPUA</w:t>
      </w:r>
    </w:p>
    <w:p w14:paraId="7C5BBF4E" w14:textId="77777777" w:rsidR="0062168B" w:rsidRDefault="0062168B" w:rsidP="00F059CD"/>
    <w:p w14:paraId="06DCAC6E" w14:textId="77777777" w:rsidR="00D06374" w:rsidRDefault="00D06374" w:rsidP="00F059CD"/>
    <w:p w14:paraId="00AD320E" w14:textId="7F4E65D7" w:rsidR="00D06374" w:rsidRPr="00D06374" w:rsidRDefault="00D06374" w:rsidP="00D06374">
      <w:pPr>
        <w:jc w:val="center"/>
        <w:rPr>
          <w:b/>
          <w:i/>
          <w:szCs w:val="20"/>
        </w:rPr>
      </w:pPr>
      <w:r w:rsidRPr="00D06374">
        <w:rPr>
          <w:b/>
          <w:i/>
          <w:szCs w:val="20"/>
        </w:rPr>
        <w:t>Wednesday 28</w:t>
      </w:r>
      <w:r w:rsidRPr="00D06374">
        <w:rPr>
          <w:b/>
          <w:i/>
          <w:szCs w:val="20"/>
          <w:vertAlign w:val="superscript"/>
        </w:rPr>
        <w:t>th</w:t>
      </w:r>
      <w:r w:rsidRPr="00D06374">
        <w:rPr>
          <w:b/>
          <w:i/>
          <w:szCs w:val="20"/>
        </w:rPr>
        <w:t xml:space="preserve"> October</w:t>
      </w:r>
    </w:p>
    <w:p w14:paraId="7DA5E422" w14:textId="77777777" w:rsidR="00D06374" w:rsidRPr="00672BA3" w:rsidRDefault="00D06374" w:rsidP="00D06374">
      <w:pPr>
        <w:rPr>
          <w:szCs w:val="20"/>
        </w:rPr>
      </w:pPr>
    </w:p>
    <w:p w14:paraId="22CFD92B" w14:textId="3D927398" w:rsidR="001B2AAA" w:rsidRPr="00E6711E" w:rsidRDefault="001B2AAA" w:rsidP="00D06374">
      <w:pPr>
        <w:rPr>
          <w:i/>
          <w:color w:val="2E74B5" w:themeColor="accent1" w:themeShade="BF"/>
          <w:szCs w:val="20"/>
        </w:rPr>
      </w:pPr>
      <w:r w:rsidRPr="00E6711E">
        <w:rPr>
          <w:b/>
          <w:color w:val="2E74B5" w:themeColor="accent1" w:themeShade="BF"/>
          <w:szCs w:val="20"/>
        </w:rPr>
        <w:t xml:space="preserve">Part 4 – Learning and </w:t>
      </w:r>
      <w:r w:rsidR="00331395" w:rsidRPr="00E6711E">
        <w:rPr>
          <w:b/>
          <w:color w:val="2E74B5" w:themeColor="accent1" w:themeShade="BF"/>
          <w:szCs w:val="20"/>
        </w:rPr>
        <w:t>sharing</w:t>
      </w:r>
    </w:p>
    <w:p w14:paraId="48515D5A" w14:textId="77777777" w:rsidR="001B2AAA" w:rsidRPr="00E6711E" w:rsidRDefault="001B2AAA" w:rsidP="00695CE3">
      <w:pPr>
        <w:rPr>
          <w:color w:val="2E74B5" w:themeColor="accent1" w:themeShade="BF"/>
        </w:rPr>
      </w:pPr>
    </w:p>
    <w:p w14:paraId="73A01E83" w14:textId="4DEA30B1" w:rsidR="00695CE3" w:rsidRDefault="0081172C" w:rsidP="00695CE3">
      <w:r>
        <w:t>There will be a s</w:t>
      </w:r>
      <w:r w:rsidR="00D06374">
        <w:t xml:space="preserve">hort concluding </w:t>
      </w:r>
      <w:r>
        <w:t>meeting to draw together our findings from the conference and the consultancy sessions hosted at the National University of Architecture and Construction of Armenia. This will take place at 14.00.</w:t>
      </w:r>
    </w:p>
    <w:p w14:paraId="2EC06A30" w14:textId="77777777" w:rsidR="0081172C" w:rsidRPr="00695CE3" w:rsidRDefault="0081172C" w:rsidP="00695CE3"/>
    <w:sectPr w:rsidR="0081172C" w:rsidRPr="00695CE3" w:rsidSect="00B8356D">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76E1D" w14:textId="77777777" w:rsidR="009022E5" w:rsidRDefault="009022E5" w:rsidP="00443D75">
      <w:r>
        <w:separator/>
      </w:r>
    </w:p>
  </w:endnote>
  <w:endnote w:type="continuationSeparator" w:id="0">
    <w:p w14:paraId="20240B3C" w14:textId="77777777" w:rsidR="009022E5" w:rsidRDefault="009022E5" w:rsidP="0044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328703"/>
      <w:docPartObj>
        <w:docPartGallery w:val="Page Numbers (Bottom of Page)"/>
        <w:docPartUnique/>
      </w:docPartObj>
    </w:sdtPr>
    <w:sdtEndPr>
      <w:rPr>
        <w:noProof/>
      </w:rPr>
    </w:sdtEndPr>
    <w:sdtContent>
      <w:p w14:paraId="3C13EC47" w14:textId="77777777" w:rsidR="00443D75" w:rsidRDefault="00443D75">
        <w:pPr>
          <w:pStyle w:val="Footer"/>
          <w:jc w:val="center"/>
        </w:pPr>
        <w:r>
          <w:fldChar w:fldCharType="begin"/>
        </w:r>
        <w:r>
          <w:instrText xml:space="preserve"> PAGE   \* MERGEFORMAT </w:instrText>
        </w:r>
        <w:r>
          <w:fldChar w:fldCharType="separate"/>
        </w:r>
        <w:r w:rsidR="00060672">
          <w:rPr>
            <w:noProof/>
          </w:rPr>
          <w:t>2</w:t>
        </w:r>
        <w:r>
          <w:rPr>
            <w:noProof/>
          </w:rPr>
          <w:fldChar w:fldCharType="end"/>
        </w:r>
      </w:p>
    </w:sdtContent>
  </w:sdt>
  <w:p w14:paraId="635C30DD" w14:textId="77777777" w:rsidR="00443D75" w:rsidRDefault="00443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47871" w14:textId="77777777" w:rsidR="009022E5" w:rsidRDefault="009022E5" w:rsidP="00443D75">
      <w:r>
        <w:separator/>
      </w:r>
    </w:p>
  </w:footnote>
  <w:footnote w:type="continuationSeparator" w:id="0">
    <w:p w14:paraId="6926DCB0" w14:textId="77777777" w:rsidR="009022E5" w:rsidRDefault="009022E5" w:rsidP="00443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184A6" w14:textId="5CD1CBFE" w:rsidR="00C27BB0" w:rsidRDefault="00B8356D" w:rsidP="00B8356D">
    <w:pPr>
      <w:pStyle w:val="Header"/>
    </w:pPr>
    <w:r>
      <w:tab/>
    </w:r>
    <w:r>
      <w:tab/>
    </w:r>
  </w:p>
  <w:p w14:paraId="0376475C" w14:textId="5BC93305" w:rsidR="00C27BB0" w:rsidRDefault="00C27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75EE2" w14:textId="778BABCF" w:rsidR="00B8356D" w:rsidRDefault="00B8356D">
    <w:pPr>
      <w:pStyle w:val="Header"/>
    </w:pPr>
    <w:r>
      <w:rPr>
        <w:noProof/>
        <w:lang w:val="ro-RO" w:eastAsia="ro-RO"/>
      </w:rPr>
      <w:drawing>
        <wp:anchor distT="0" distB="0" distL="114300" distR="114300" simplePos="0" relativeHeight="251659264" behindDoc="1" locked="0" layoutInCell="1" allowOverlap="1" wp14:anchorId="444B0A8D" wp14:editId="6DC76FE4">
          <wp:simplePos x="0" y="0"/>
          <wp:positionH relativeFrom="page">
            <wp:align>right</wp:align>
          </wp:positionH>
          <wp:positionV relativeFrom="paragraph">
            <wp:posOffset>-410210</wp:posOffset>
          </wp:positionV>
          <wp:extent cx="7543800" cy="876300"/>
          <wp:effectExtent l="0" t="0" r="0" b="0"/>
          <wp:wrapNone/>
          <wp:docPr id="3" name="Picture 3" descr="Description: Untitled:Users:serbanescuadrian:Desktop:ESPAQ_2015:mai_2015:png:1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titled:Users:serbanescuadrian:Desktop:ESPAQ_2015:mai_2015:png:1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b="91783"/>
                  <a:stretch/>
                </pic:blipFill>
                <pic:spPr bwMode="auto">
                  <a:xfrm>
                    <a:off x="0" y="0"/>
                    <a:ext cx="754380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BFC"/>
    <w:multiLevelType w:val="hybridMultilevel"/>
    <w:tmpl w:val="3B9EB0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B02FB6"/>
    <w:multiLevelType w:val="hybridMultilevel"/>
    <w:tmpl w:val="1258FF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1E4FE1"/>
    <w:multiLevelType w:val="multilevel"/>
    <w:tmpl w:val="41804E72"/>
    <w:lvl w:ilvl="0">
      <w:start w:val="9"/>
      <w:numFmt w:val="decimal"/>
      <w:lvlText w:val="%1.0"/>
      <w:lvlJc w:val="left"/>
      <w:pPr>
        <w:ind w:left="720" w:hanging="720"/>
      </w:pPr>
      <w:rPr>
        <w:rFonts w:hint="default"/>
        <w:b/>
      </w:rPr>
    </w:lvl>
    <w:lvl w:ilvl="1">
      <w:start w:val="1"/>
      <w:numFmt w:val="decimalZero"/>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
    <w:nsid w:val="23EC4D7D"/>
    <w:multiLevelType w:val="hybridMultilevel"/>
    <w:tmpl w:val="FD16E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2C67FF"/>
    <w:multiLevelType w:val="hybridMultilevel"/>
    <w:tmpl w:val="E24E6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452B9D"/>
    <w:multiLevelType w:val="hybridMultilevel"/>
    <w:tmpl w:val="D26A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8E4745"/>
    <w:multiLevelType w:val="hybridMultilevel"/>
    <w:tmpl w:val="C51EAF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A7430"/>
    <w:multiLevelType w:val="hybridMultilevel"/>
    <w:tmpl w:val="0D2E0CA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D3113F"/>
    <w:multiLevelType w:val="hybridMultilevel"/>
    <w:tmpl w:val="BCACA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5E4B3E"/>
    <w:multiLevelType w:val="hybridMultilevel"/>
    <w:tmpl w:val="53FE8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B67A8E"/>
    <w:multiLevelType w:val="hybridMultilevel"/>
    <w:tmpl w:val="B2DA06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35220F"/>
    <w:multiLevelType w:val="hybridMultilevel"/>
    <w:tmpl w:val="9FECA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BB0BA2"/>
    <w:multiLevelType w:val="hybridMultilevel"/>
    <w:tmpl w:val="DC4E4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286601"/>
    <w:multiLevelType w:val="hybridMultilevel"/>
    <w:tmpl w:val="27DCA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872CE8"/>
    <w:multiLevelType w:val="hybridMultilevel"/>
    <w:tmpl w:val="DB5A9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8902C3"/>
    <w:multiLevelType w:val="hybridMultilevel"/>
    <w:tmpl w:val="36D0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BE4300"/>
    <w:multiLevelType w:val="hybridMultilevel"/>
    <w:tmpl w:val="1B5C0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4"/>
  </w:num>
  <w:num w:numId="4">
    <w:abstractNumId w:val="4"/>
  </w:num>
  <w:num w:numId="5">
    <w:abstractNumId w:val="9"/>
  </w:num>
  <w:num w:numId="6">
    <w:abstractNumId w:val="8"/>
  </w:num>
  <w:num w:numId="7">
    <w:abstractNumId w:val="7"/>
  </w:num>
  <w:num w:numId="8">
    <w:abstractNumId w:val="0"/>
  </w:num>
  <w:num w:numId="9">
    <w:abstractNumId w:val="13"/>
  </w:num>
  <w:num w:numId="10">
    <w:abstractNumId w:val="12"/>
  </w:num>
  <w:num w:numId="11">
    <w:abstractNumId w:val="3"/>
  </w:num>
  <w:num w:numId="12">
    <w:abstractNumId w:val="10"/>
  </w:num>
  <w:num w:numId="13">
    <w:abstractNumId w:val="16"/>
  </w:num>
  <w:num w:numId="14">
    <w:abstractNumId w:val="11"/>
  </w:num>
  <w:num w:numId="15">
    <w:abstractNumId w:val="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A7"/>
    <w:rsid w:val="00006CA4"/>
    <w:rsid w:val="000538C5"/>
    <w:rsid w:val="00060672"/>
    <w:rsid w:val="00093176"/>
    <w:rsid w:val="0010400F"/>
    <w:rsid w:val="00105507"/>
    <w:rsid w:val="001407AD"/>
    <w:rsid w:val="00156714"/>
    <w:rsid w:val="001B2AAA"/>
    <w:rsid w:val="002737FF"/>
    <w:rsid w:val="0030157B"/>
    <w:rsid w:val="00331395"/>
    <w:rsid w:val="0034525F"/>
    <w:rsid w:val="00394C83"/>
    <w:rsid w:val="003B6205"/>
    <w:rsid w:val="003C6E00"/>
    <w:rsid w:val="00443D75"/>
    <w:rsid w:val="004823EE"/>
    <w:rsid w:val="004B614E"/>
    <w:rsid w:val="004C3EA5"/>
    <w:rsid w:val="004D0BEC"/>
    <w:rsid w:val="004D20FC"/>
    <w:rsid w:val="004E3E4C"/>
    <w:rsid w:val="00500F19"/>
    <w:rsid w:val="0052659B"/>
    <w:rsid w:val="00531247"/>
    <w:rsid w:val="00565BF8"/>
    <w:rsid w:val="00581A74"/>
    <w:rsid w:val="0062168B"/>
    <w:rsid w:val="0062794A"/>
    <w:rsid w:val="00672BA3"/>
    <w:rsid w:val="006819BB"/>
    <w:rsid w:val="00695CE3"/>
    <w:rsid w:val="00717D7B"/>
    <w:rsid w:val="007D2A6A"/>
    <w:rsid w:val="007D3CCB"/>
    <w:rsid w:val="007D6AE3"/>
    <w:rsid w:val="0081172C"/>
    <w:rsid w:val="00812897"/>
    <w:rsid w:val="00846990"/>
    <w:rsid w:val="00853C79"/>
    <w:rsid w:val="00891529"/>
    <w:rsid w:val="00892687"/>
    <w:rsid w:val="008A258D"/>
    <w:rsid w:val="008A704A"/>
    <w:rsid w:val="008C6DA7"/>
    <w:rsid w:val="009022E5"/>
    <w:rsid w:val="009165EB"/>
    <w:rsid w:val="00933AA9"/>
    <w:rsid w:val="00A42864"/>
    <w:rsid w:val="00B30A8D"/>
    <w:rsid w:val="00B33F8F"/>
    <w:rsid w:val="00B571EC"/>
    <w:rsid w:val="00B8356D"/>
    <w:rsid w:val="00BE0AC4"/>
    <w:rsid w:val="00C27BB0"/>
    <w:rsid w:val="00CD3758"/>
    <w:rsid w:val="00D06374"/>
    <w:rsid w:val="00DA3F4E"/>
    <w:rsid w:val="00DB7FB2"/>
    <w:rsid w:val="00E21B67"/>
    <w:rsid w:val="00E40EF7"/>
    <w:rsid w:val="00E6711E"/>
    <w:rsid w:val="00E847F8"/>
    <w:rsid w:val="00ED3123"/>
    <w:rsid w:val="00EE6FA8"/>
    <w:rsid w:val="00F059CD"/>
    <w:rsid w:val="00F1390C"/>
    <w:rsid w:val="00F44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8D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4C"/>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176"/>
    <w:pPr>
      <w:ind w:left="720"/>
      <w:contextualSpacing/>
    </w:pPr>
  </w:style>
  <w:style w:type="paragraph" w:styleId="Header">
    <w:name w:val="header"/>
    <w:basedOn w:val="Normal"/>
    <w:link w:val="HeaderChar"/>
    <w:uiPriority w:val="99"/>
    <w:unhideWhenUsed/>
    <w:rsid w:val="00443D75"/>
    <w:pPr>
      <w:tabs>
        <w:tab w:val="center" w:pos="4513"/>
        <w:tab w:val="right" w:pos="9026"/>
      </w:tabs>
    </w:pPr>
  </w:style>
  <w:style w:type="character" w:customStyle="1" w:styleId="HeaderChar">
    <w:name w:val="Header Char"/>
    <w:basedOn w:val="DefaultParagraphFont"/>
    <w:link w:val="Header"/>
    <w:uiPriority w:val="99"/>
    <w:rsid w:val="00443D75"/>
    <w:rPr>
      <w:rFonts w:ascii="Verdana" w:hAnsi="Verdana"/>
      <w:sz w:val="20"/>
    </w:rPr>
  </w:style>
  <w:style w:type="paragraph" w:styleId="Footer">
    <w:name w:val="footer"/>
    <w:basedOn w:val="Normal"/>
    <w:link w:val="FooterChar"/>
    <w:uiPriority w:val="99"/>
    <w:unhideWhenUsed/>
    <w:rsid w:val="00443D75"/>
    <w:pPr>
      <w:tabs>
        <w:tab w:val="center" w:pos="4513"/>
        <w:tab w:val="right" w:pos="9026"/>
      </w:tabs>
    </w:pPr>
  </w:style>
  <w:style w:type="character" w:customStyle="1" w:styleId="FooterChar">
    <w:name w:val="Footer Char"/>
    <w:basedOn w:val="DefaultParagraphFont"/>
    <w:link w:val="Footer"/>
    <w:uiPriority w:val="99"/>
    <w:rsid w:val="00443D75"/>
    <w:rPr>
      <w:rFonts w:ascii="Verdana" w:hAnsi="Verdana"/>
      <w:sz w:val="20"/>
    </w:rPr>
  </w:style>
  <w:style w:type="character" w:styleId="Hyperlink">
    <w:name w:val="Hyperlink"/>
    <w:basedOn w:val="DefaultParagraphFont"/>
    <w:uiPriority w:val="99"/>
    <w:unhideWhenUsed/>
    <w:rsid w:val="00C27BB0"/>
    <w:rPr>
      <w:color w:val="0563C1" w:themeColor="hyperlink"/>
      <w:u w:val="single"/>
    </w:rPr>
  </w:style>
  <w:style w:type="table" w:styleId="TableGrid">
    <w:name w:val="Table Grid"/>
    <w:basedOn w:val="TableNormal"/>
    <w:uiPriority w:val="39"/>
    <w:rsid w:val="00301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BA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4C"/>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176"/>
    <w:pPr>
      <w:ind w:left="720"/>
      <w:contextualSpacing/>
    </w:pPr>
  </w:style>
  <w:style w:type="paragraph" w:styleId="Header">
    <w:name w:val="header"/>
    <w:basedOn w:val="Normal"/>
    <w:link w:val="HeaderChar"/>
    <w:uiPriority w:val="99"/>
    <w:unhideWhenUsed/>
    <w:rsid w:val="00443D75"/>
    <w:pPr>
      <w:tabs>
        <w:tab w:val="center" w:pos="4513"/>
        <w:tab w:val="right" w:pos="9026"/>
      </w:tabs>
    </w:pPr>
  </w:style>
  <w:style w:type="character" w:customStyle="1" w:styleId="HeaderChar">
    <w:name w:val="Header Char"/>
    <w:basedOn w:val="DefaultParagraphFont"/>
    <w:link w:val="Header"/>
    <w:uiPriority w:val="99"/>
    <w:rsid w:val="00443D75"/>
    <w:rPr>
      <w:rFonts w:ascii="Verdana" w:hAnsi="Verdana"/>
      <w:sz w:val="20"/>
    </w:rPr>
  </w:style>
  <w:style w:type="paragraph" w:styleId="Footer">
    <w:name w:val="footer"/>
    <w:basedOn w:val="Normal"/>
    <w:link w:val="FooterChar"/>
    <w:uiPriority w:val="99"/>
    <w:unhideWhenUsed/>
    <w:rsid w:val="00443D75"/>
    <w:pPr>
      <w:tabs>
        <w:tab w:val="center" w:pos="4513"/>
        <w:tab w:val="right" w:pos="9026"/>
      </w:tabs>
    </w:pPr>
  </w:style>
  <w:style w:type="character" w:customStyle="1" w:styleId="FooterChar">
    <w:name w:val="Footer Char"/>
    <w:basedOn w:val="DefaultParagraphFont"/>
    <w:link w:val="Footer"/>
    <w:uiPriority w:val="99"/>
    <w:rsid w:val="00443D75"/>
    <w:rPr>
      <w:rFonts w:ascii="Verdana" w:hAnsi="Verdana"/>
      <w:sz w:val="20"/>
    </w:rPr>
  </w:style>
  <w:style w:type="character" w:styleId="Hyperlink">
    <w:name w:val="Hyperlink"/>
    <w:basedOn w:val="DefaultParagraphFont"/>
    <w:uiPriority w:val="99"/>
    <w:unhideWhenUsed/>
    <w:rsid w:val="00C27BB0"/>
    <w:rPr>
      <w:color w:val="0563C1" w:themeColor="hyperlink"/>
      <w:u w:val="single"/>
    </w:rPr>
  </w:style>
  <w:style w:type="table" w:styleId="TableGrid">
    <w:name w:val="Table Grid"/>
    <w:basedOn w:val="TableNormal"/>
    <w:uiPriority w:val="39"/>
    <w:rsid w:val="00301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B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ogle.co.uk/maps/place/Union+of+Architects/@40.1910866,44.5107472,17z/data=!3m1!4b1!4m2!3m1!1s0x406abd19245186fd:0xeb3bd02b0ab667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017B8B50F3B14692F9C229BA8D711C" ma:contentTypeVersion="0" ma:contentTypeDescription="Create a new document." ma:contentTypeScope="" ma:versionID="61cc531ca2cb3e85f91b6637ceb17160">
  <xsd:schema xmlns:xsd="http://www.w3.org/2001/XMLSchema" xmlns:xs="http://www.w3.org/2001/XMLSchema" xmlns:p="http://schemas.microsoft.com/office/2006/metadata/properties" targetNamespace="http://schemas.microsoft.com/office/2006/metadata/properties" ma:root="true" ma:fieldsID="0f8169cf1dafad93c74c0165d25e831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7ACF9-06D2-4F90-A5E1-47A6BF16832E}">
  <ds:schemaRef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98E89E3-1CC2-4EE3-8BDC-DA1D261D53D6}">
  <ds:schemaRefs>
    <ds:schemaRef ds:uri="http://schemas.microsoft.com/sharepoint/v3/contenttype/forms"/>
  </ds:schemaRefs>
</ds:datastoreItem>
</file>

<file path=customXml/itemProps3.xml><?xml version="1.0" encoding="utf-8"?>
<ds:datastoreItem xmlns:ds="http://schemas.openxmlformats.org/officeDocument/2006/customXml" ds:itemID="{99B7A518-0312-4BAC-B64B-E4FA8D01A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1611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Varwell</dc:creator>
  <cp:lastModifiedBy>stefan17</cp:lastModifiedBy>
  <cp:revision>2</cp:revision>
  <dcterms:created xsi:type="dcterms:W3CDTF">2015-10-30T10:45:00Z</dcterms:created>
  <dcterms:modified xsi:type="dcterms:W3CDTF">2015-10-30T10:45:00Z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0x010100DB017B8B50F3B14692F9C229BA8D711C</vt:lpwstr>
  </property>
  <property fmtid="{D5CDD505-2E9C-101B-9397-08002B2CF9AE}" pid="3" name="IsMyDocuments">
    <vt:bool>true</vt:bool>
  </property>
</Properties>
</file>